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E2BD7C" w14:textId="41C549CB" w:rsidR="001B6488" w:rsidRDefault="00A36889" w:rsidP="00A36889">
      <w:pPr>
        <w:pStyle w:val="Nzev"/>
      </w:pPr>
      <w:r>
        <w:t>ZÁMĚR PROJEKTU</w:t>
      </w:r>
    </w:p>
    <w:p w14:paraId="39BE1A84" w14:textId="7EB6CAC0" w:rsidR="0070555E" w:rsidRDefault="0070555E" w:rsidP="0070555E">
      <w:pPr>
        <w:pStyle w:val="Podnadpis"/>
      </w:pPr>
      <w:r>
        <w:t>Investiční akce</w:t>
      </w:r>
    </w:p>
    <w:p w14:paraId="62A843B2" w14:textId="77777777" w:rsidR="0070555E" w:rsidRPr="00E67FE0" w:rsidRDefault="0070555E"/>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14"/>
        <w:gridCol w:w="1456"/>
        <w:gridCol w:w="1289"/>
        <w:gridCol w:w="2804"/>
        <w:gridCol w:w="1404"/>
      </w:tblGrid>
      <w:tr w:rsidR="00B0575C" w:rsidRPr="00B0575C" w14:paraId="2FDFFB07" w14:textId="77777777" w:rsidTr="00421D51">
        <w:trPr>
          <w:trHeight w:val="19"/>
          <w:tblHeader/>
        </w:trPr>
        <w:tc>
          <w:tcPr>
            <w:tcW w:w="5000" w:type="pct"/>
            <w:gridSpan w:val="5"/>
            <w:shd w:val="clear" w:color="auto" w:fill="BDD6EE" w:themeFill="accent1" w:themeFillTint="66"/>
            <w:noWrap/>
            <w:hideMark/>
          </w:tcPr>
          <w:p w14:paraId="23F2ACE8" w14:textId="64F11A53" w:rsidR="00B0575C" w:rsidRPr="00B0575C" w:rsidRDefault="00B0575C" w:rsidP="00B0575C">
            <w:pPr>
              <w:rPr>
                <w:b/>
              </w:rPr>
            </w:pPr>
            <w:r w:rsidRPr="00B0575C">
              <w:rPr>
                <w:b/>
              </w:rPr>
              <w:t>Úvodní informace o investorovi</w:t>
            </w:r>
          </w:p>
        </w:tc>
      </w:tr>
      <w:tr w:rsidR="00DD6873" w:rsidRPr="00BF5681" w14:paraId="054E7189" w14:textId="77777777" w:rsidTr="00DD6873">
        <w:trPr>
          <w:trHeight w:val="19"/>
          <w:tblHeader/>
        </w:trPr>
        <w:tc>
          <w:tcPr>
            <w:tcW w:w="1166" w:type="pct"/>
            <w:shd w:val="clear" w:color="auto" w:fill="F2F2F2" w:themeFill="background1" w:themeFillShade="F2"/>
          </w:tcPr>
          <w:p w14:paraId="3EADFE9B" w14:textId="73859E1E" w:rsidR="00DD6873" w:rsidRPr="005B060A" w:rsidRDefault="00DD6873" w:rsidP="00DD6873">
            <w:pPr>
              <w:jc w:val="left"/>
            </w:pPr>
            <w:r w:rsidRPr="62D7C2AD">
              <w:t xml:space="preserve">Organizace </w:t>
            </w:r>
          </w:p>
        </w:tc>
        <w:tc>
          <w:tcPr>
            <w:tcW w:w="1514" w:type="pct"/>
            <w:gridSpan w:val="2"/>
            <w:shd w:val="clear" w:color="auto" w:fill="auto"/>
          </w:tcPr>
          <w:p w14:paraId="340D4997" w14:textId="7C28689B" w:rsidR="00DD6873" w:rsidRPr="00DD6873" w:rsidRDefault="00DD6873" w:rsidP="00DD6873">
            <w:pPr>
              <w:jc w:val="left"/>
              <w:rPr>
                <w:iCs/>
              </w:rPr>
            </w:pPr>
            <w:r w:rsidRPr="00F65727">
              <w:rPr>
                <w:iCs/>
              </w:rPr>
              <w:t>Správa železnic, státní organizace</w:t>
            </w:r>
          </w:p>
        </w:tc>
        <w:tc>
          <w:tcPr>
            <w:tcW w:w="1546" w:type="pct"/>
            <w:shd w:val="clear" w:color="auto" w:fill="auto"/>
          </w:tcPr>
          <w:p w14:paraId="7CCCF20E" w14:textId="3541F0E7" w:rsidR="00DD6873" w:rsidRPr="00DD6873" w:rsidRDefault="00DD6873" w:rsidP="00DD6873">
            <w:pPr>
              <w:jc w:val="left"/>
              <w:rPr>
                <w:iCs/>
              </w:rPr>
            </w:pPr>
            <w:r w:rsidRPr="00F65727">
              <w:rPr>
                <w:iCs/>
              </w:rPr>
              <w:t>Dlážděná 1003/7, Praha 1</w:t>
            </w:r>
          </w:p>
        </w:tc>
        <w:tc>
          <w:tcPr>
            <w:tcW w:w="774" w:type="pct"/>
            <w:shd w:val="clear" w:color="auto" w:fill="auto"/>
          </w:tcPr>
          <w:p w14:paraId="5D6EF8DF" w14:textId="3DC3ABA7" w:rsidR="00DD6873" w:rsidRPr="00DD6873" w:rsidRDefault="00DD6873" w:rsidP="00DD6873">
            <w:pPr>
              <w:jc w:val="left"/>
              <w:rPr>
                <w:iCs/>
              </w:rPr>
            </w:pPr>
            <w:r w:rsidRPr="00F65727">
              <w:rPr>
                <w:iCs/>
              </w:rPr>
              <w:t>IČO: 70994234</w:t>
            </w:r>
          </w:p>
        </w:tc>
      </w:tr>
      <w:tr w:rsidR="00DD6873" w:rsidRPr="00BF5681" w14:paraId="038F440A" w14:textId="77777777" w:rsidTr="00DD6873">
        <w:trPr>
          <w:trHeight w:val="19"/>
          <w:tblHeader/>
        </w:trPr>
        <w:tc>
          <w:tcPr>
            <w:tcW w:w="1166" w:type="pct"/>
            <w:shd w:val="clear" w:color="auto" w:fill="F2F2F2" w:themeFill="background1" w:themeFillShade="F2"/>
          </w:tcPr>
          <w:p w14:paraId="2D66452D" w14:textId="30671F4B" w:rsidR="00DD6873" w:rsidRPr="005B060A" w:rsidRDefault="00DD6873" w:rsidP="00DD6873">
            <w:pPr>
              <w:jc w:val="left"/>
            </w:pPr>
            <w:r w:rsidRPr="62D7C2AD">
              <w:t>Ředitel nebo Statutární zástupce</w:t>
            </w:r>
          </w:p>
        </w:tc>
        <w:tc>
          <w:tcPr>
            <w:tcW w:w="803" w:type="pct"/>
            <w:shd w:val="clear" w:color="auto" w:fill="auto"/>
          </w:tcPr>
          <w:p w14:paraId="47788FDC" w14:textId="169D086D" w:rsidR="00DD6873" w:rsidRPr="00DD6873" w:rsidRDefault="00DD6873" w:rsidP="00DD6873">
            <w:pPr>
              <w:jc w:val="left"/>
              <w:rPr>
                <w:iCs/>
              </w:rPr>
            </w:pPr>
            <w:r w:rsidRPr="00F65727">
              <w:rPr>
                <w:iCs/>
              </w:rPr>
              <w:t>Bc. Jiří Svoboda, MBA</w:t>
            </w:r>
          </w:p>
        </w:tc>
        <w:tc>
          <w:tcPr>
            <w:tcW w:w="711" w:type="pct"/>
            <w:shd w:val="clear" w:color="auto" w:fill="auto"/>
          </w:tcPr>
          <w:p w14:paraId="7733D3D2" w14:textId="21590083" w:rsidR="00DD6873" w:rsidRPr="00DD6873" w:rsidRDefault="00DD6873" w:rsidP="00DD6873">
            <w:pPr>
              <w:jc w:val="left"/>
              <w:rPr>
                <w:iCs/>
              </w:rPr>
            </w:pPr>
            <w:r w:rsidRPr="00F65727">
              <w:rPr>
                <w:iCs/>
              </w:rPr>
              <w:t>Generální ředitel</w:t>
            </w:r>
          </w:p>
        </w:tc>
        <w:tc>
          <w:tcPr>
            <w:tcW w:w="1546" w:type="pct"/>
            <w:shd w:val="clear" w:color="auto" w:fill="auto"/>
          </w:tcPr>
          <w:p w14:paraId="1A520485" w14:textId="6E755CEE" w:rsidR="00DD6873" w:rsidRPr="00DD6873" w:rsidRDefault="00DD6873" w:rsidP="00DD6873">
            <w:pPr>
              <w:jc w:val="left"/>
              <w:rPr>
                <w:iCs/>
              </w:rPr>
            </w:pPr>
            <w:r w:rsidRPr="00F65727">
              <w:rPr>
                <w:iCs/>
              </w:rPr>
              <w:t>SvobodaJ@spravazeleznic.cz</w:t>
            </w:r>
          </w:p>
        </w:tc>
        <w:tc>
          <w:tcPr>
            <w:tcW w:w="774" w:type="pct"/>
            <w:shd w:val="clear" w:color="auto" w:fill="auto"/>
          </w:tcPr>
          <w:p w14:paraId="57842514" w14:textId="74F8EF01" w:rsidR="00DD6873" w:rsidRPr="00DD6873" w:rsidRDefault="00DD6873" w:rsidP="00DD6873">
            <w:pPr>
              <w:jc w:val="left"/>
              <w:rPr>
                <w:iCs/>
              </w:rPr>
            </w:pPr>
            <w:r w:rsidRPr="00F65727">
              <w:rPr>
                <w:iCs/>
              </w:rPr>
              <w:t>972 235 202</w:t>
            </w:r>
          </w:p>
        </w:tc>
      </w:tr>
      <w:tr w:rsidR="00DD6873" w:rsidRPr="00BF5681" w14:paraId="037D6873" w14:textId="77777777" w:rsidTr="00DD6873">
        <w:trPr>
          <w:trHeight w:val="19"/>
          <w:tblHeader/>
        </w:trPr>
        <w:tc>
          <w:tcPr>
            <w:tcW w:w="1166" w:type="pct"/>
            <w:shd w:val="clear" w:color="auto" w:fill="F2F2F2" w:themeFill="background1" w:themeFillShade="F2"/>
          </w:tcPr>
          <w:p w14:paraId="2A31E9F5" w14:textId="77777777" w:rsidR="00DD6873" w:rsidRPr="005B060A" w:rsidRDefault="00DD6873" w:rsidP="00DD6873">
            <w:pPr>
              <w:jc w:val="left"/>
            </w:pPr>
            <w:r w:rsidRPr="62D7C2AD">
              <w:t>Kontaktní osoba projektu</w:t>
            </w:r>
          </w:p>
        </w:tc>
        <w:tc>
          <w:tcPr>
            <w:tcW w:w="803" w:type="pct"/>
            <w:shd w:val="clear" w:color="auto" w:fill="auto"/>
          </w:tcPr>
          <w:p w14:paraId="57E929EE" w14:textId="277B1145" w:rsidR="00DD6873" w:rsidRPr="00DD6873" w:rsidRDefault="00DD6873" w:rsidP="00DD6873">
            <w:pPr>
              <w:jc w:val="left"/>
              <w:rPr>
                <w:iCs/>
              </w:rPr>
            </w:pPr>
            <w:r w:rsidRPr="00F94960">
              <w:rPr>
                <w:iCs/>
              </w:rPr>
              <w:t xml:space="preserve">Ing. </w:t>
            </w:r>
            <w:r>
              <w:rPr>
                <w:iCs/>
              </w:rPr>
              <w:t>Ilona Hanáková</w:t>
            </w:r>
          </w:p>
        </w:tc>
        <w:tc>
          <w:tcPr>
            <w:tcW w:w="711" w:type="pct"/>
            <w:shd w:val="clear" w:color="auto" w:fill="auto"/>
          </w:tcPr>
          <w:p w14:paraId="26FA65B5" w14:textId="375252D1" w:rsidR="00DD6873" w:rsidRPr="00DD6873" w:rsidRDefault="00DD6873" w:rsidP="00DD6873">
            <w:pPr>
              <w:jc w:val="left"/>
              <w:rPr>
                <w:iCs/>
              </w:rPr>
            </w:pPr>
            <w:r w:rsidRPr="00F94960">
              <w:rPr>
                <w:iCs/>
              </w:rPr>
              <w:t>Vedoucí oddělení</w:t>
            </w:r>
          </w:p>
        </w:tc>
        <w:tc>
          <w:tcPr>
            <w:tcW w:w="1546" w:type="pct"/>
            <w:shd w:val="clear" w:color="auto" w:fill="auto"/>
          </w:tcPr>
          <w:p w14:paraId="6F1C86D9" w14:textId="6C3FF217" w:rsidR="00DD6873" w:rsidRPr="00DD6873" w:rsidRDefault="00DD6873" w:rsidP="00DD6873">
            <w:pPr>
              <w:jc w:val="left"/>
              <w:rPr>
                <w:iCs/>
              </w:rPr>
            </w:pPr>
            <w:r>
              <w:rPr>
                <w:iCs/>
              </w:rPr>
              <w:t>HanakovaI</w:t>
            </w:r>
            <w:r w:rsidRPr="00F94960">
              <w:rPr>
                <w:iCs/>
              </w:rPr>
              <w:t>@spravazeleznic.cz</w:t>
            </w:r>
          </w:p>
        </w:tc>
        <w:tc>
          <w:tcPr>
            <w:tcW w:w="774" w:type="pct"/>
            <w:shd w:val="clear" w:color="auto" w:fill="auto"/>
          </w:tcPr>
          <w:p w14:paraId="346E3894" w14:textId="4F71CFAB" w:rsidR="00DD6873" w:rsidRPr="00DD6873" w:rsidRDefault="00DD6873" w:rsidP="00DD6873">
            <w:pPr>
              <w:jc w:val="left"/>
              <w:rPr>
                <w:iCs/>
              </w:rPr>
            </w:pPr>
            <w:r w:rsidRPr="00F94960">
              <w:rPr>
                <w:iCs/>
              </w:rPr>
              <w:t>972 235 8</w:t>
            </w:r>
            <w:r>
              <w:rPr>
                <w:iCs/>
              </w:rPr>
              <w:t>28</w:t>
            </w:r>
          </w:p>
        </w:tc>
      </w:tr>
    </w:tbl>
    <w:p w14:paraId="67F7AE9D" w14:textId="77777777" w:rsidR="00B0575C" w:rsidRDefault="00B0575C" w:rsidP="00A36889"/>
    <w:p w14:paraId="0C2D5CCF" w14:textId="112C6AD1" w:rsidR="00A36889" w:rsidRDefault="00F55646" w:rsidP="009237B2">
      <w:pPr>
        <w:pStyle w:val="Nadpis1"/>
      </w:pPr>
      <w:r>
        <w:t xml:space="preserve">Základní </w:t>
      </w:r>
      <w:r w:rsidR="00A220DC">
        <w:t>údaje o projektu</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71"/>
        <w:gridCol w:w="6093"/>
      </w:tblGrid>
      <w:tr w:rsidR="00A469D6" w:rsidRPr="005E6070" w14:paraId="268AC414" w14:textId="77777777" w:rsidTr="00421D51">
        <w:trPr>
          <w:trHeight w:val="20"/>
          <w:tblHeader/>
        </w:trPr>
        <w:tc>
          <w:tcPr>
            <w:tcW w:w="5000" w:type="pct"/>
            <w:gridSpan w:val="2"/>
            <w:shd w:val="clear" w:color="auto" w:fill="BDD6EE" w:themeFill="accent1" w:themeFillTint="66"/>
            <w:noWrap/>
            <w:hideMark/>
          </w:tcPr>
          <w:p w14:paraId="59838B7B" w14:textId="1B3EB114" w:rsidR="00A469D6" w:rsidRPr="005E6070" w:rsidRDefault="00A469D6" w:rsidP="00A469D6">
            <w:pPr>
              <w:rPr>
                <w:b/>
              </w:rPr>
            </w:pPr>
            <w:bookmarkStart w:id="0" w:name="_Toc509581649"/>
            <w:bookmarkStart w:id="1" w:name="_Toc513797118"/>
            <w:r w:rsidRPr="005E6070">
              <w:rPr>
                <w:b/>
              </w:rPr>
              <w:t>Shrnutí charakteristik projektu</w:t>
            </w:r>
            <w:bookmarkEnd w:id="0"/>
            <w:bookmarkEnd w:id="1"/>
          </w:p>
        </w:tc>
      </w:tr>
      <w:tr w:rsidR="00DD6873" w:rsidRPr="00BF5681" w14:paraId="00C16A20" w14:textId="77777777" w:rsidTr="00421D51">
        <w:trPr>
          <w:trHeight w:val="20"/>
          <w:tblHeader/>
        </w:trPr>
        <w:tc>
          <w:tcPr>
            <w:tcW w:w="1639" w:type="pct"/>
            <w:shd w:val="clear" w:color="auto" w:fill="F2F2F2" w:themeFill="background1" w:themeFillShade="F2"/>
          </w:tcPr>
          <w:p w14:paraId="386C1C1D" w14:textId="2874AB0C" w:rsidR="00DD6873" w:rsidRPr="003F7B0D" w:rsidRDefault="00DD6873" w:rsidP="00DD6873">
            <w:r w:rsidRPr="003F7B0D">
              <w:t xml:space="preserve">Název </w:t>
            </w:r>
            <w:r>
              <w:t>projektu</w:t>
            </w:r>
            <w:r w:rsidRPr="003F7B0D">
              <w:t>:</w:t>
            </w:r>
          </w:p>
        </w:tc>
        <w:tc>
          <w:tcPr>
            <w:tcW w:w="3361" w:type="pct"/>
            <w:shd w:val="clear" w:color="auto" w:fill="auto"/>
          </w:tcPr>
          <w:p w14:paraId="267F67E4" w14:textId="77107A8B" w:rsidR="00DD6873" w:rsidRPr="003F7B0D" w:rsidRDefault="00DD6873" w:rsidP="00DD6873">
            <w:r>
              <w:t>Tišická spojka</w:t>
            </w:r>
          </w:p>
        </w:tc>
      </w:tr>
      <w:tr w:rsidR="00DD6873" w:rsidRPr="00BF5681" w14:paraId="79C8A171" w14:textId="77777777" w:rsidTr="00421D51">
        <w:trPr>
          <w:trHeight w:val="20"/>
          <w:tblHeader/>
        </w:trPr>
        <w:tc>
          <w:tcPr>
            <w:tcW w:w="1639" w:type="pct"/>
            <w:shd w:val="clear" w:color="auto" w:fill="F2F2F2" w:themeFill="background1" w:themeFillShade="F2"/>
          </w:tcPr>
          <w:p w14:paraId="54E08B00" w14:textId="3FABE43B" w:rsidR="00DD6873" w:rsidRPr="003F7B0D" w:rsidRDefault="00DD6873" w:rsidP="00DD6873">
            <w:r>
              <w:t>ISPROFOND projektu:</w:t>
            </w:r>
          </w:p>
        </w:tc>
        <w:tc>
          <w:tcPr>
            <w:tcW w:w="3361" w:type="pct"/>
            <w:shd w:val="clear" w:color="auto" w:fill="auto"/>
          </w:tcPr>
          <w:p w14:paraId="45416B92" w14:textId="239325CD" w:rsidR="00DD6873" w:rsidRPr="003F7B0D" w:rsidRDefault="00DD6873" w:rsidP="00DD6873">
            <w:r w:rsidRPr="005C6274">
              <w:t>3273214901 – Příprava a zabezpečení staveb (projektová příprava)</w:t>
            </w:r>
          </w:p>
        </w:tc>
      </w:tr>
      <w:tr w:rsidR="00DD6873" w:rsidRPr="00BF5681" w14:paraId="0CAD133B" w14:textId="77777777" w:rsidTr="00421D51">
        <w:trPr>
          <w:trHeight w:val="20"/>
          <w:tblHeader/>
        </w:trPr>
        <w:tc>
          <w:tcPr>
            <w:tcW w:w="1639" w:type="pct"/>
            <w:shd w:val="clear" w:color="auto" w:fill="F2F2F2" w:themeFill="background1" w:themeFillShade="F2"/>
          </w:tcPr>
          <w:p w14:paraId="252B1E3B" w14:textId="516EF5C3" w:rsidR="00DD6873" w:rsidRDefault="00DD6873" w:rsidP="00DD6873">
            <w:r>
              <w:t>Místo realizace (kraj):</w:t>
            </w:r>
          </w:p>
        </w:tc>
        <w:tc>
          <w:tcPr>
            <w:tcW w:w="3361" w:type="pct"/>
            <w:shd w:val="clear" w:color="auto" w:fill="auto"/>
          </w:tcPr>
          <w:p w14:paraId="02337F73" w14:textId="74575201" w:rsidR="00DD6873" w:rsidRPr="003F7B0D" w:rsidRDefault="00DD6873" w:rsidP="00DD6873">
            <w:r>
              <w:t>Středočeský kraj</w:t>
            </w:r>
          </w:p>
        </w:tc>
      </w:tr>
      <w:tr w:rsidR="00A469D6" w:rsidRPr="00BF5681" w14:paraId="7C494125" w14:textId="77777777" w:rsidTr="00421D51">
        <w:trPr>
          <w:trHeight w:val="20"/>
          <w:tblHeader/>
        </w:trPr>
        <w:tc>
          <w:tcPr>
            <w:tcW w:w="1639" w:type="pct"/>
            <w:shd w:val="clear" w:color="auto" w:fill="F2F2F2" w:themeFill="background1" w:themeFillShade="F2"/>
          </w:tcPr>
          <w:p w14:paraId="0460DD3B" w14:textId="4988B5AC" w:rsidR="00A469D6" w:rsidRPr="003F7B0D" w:rsidRDefault="00A469D6" w:rsidP="00A469D6">
            <w:r>
              <w:t>Specifický cíl / účel</w:t>
            </w:r>
            <w:r w:rsidRPr="003F7B0D">
              <w:t xml:space="preserve"> </w:t>
            </w:r>
            <w:r>
              <w:t>projektu</w:t>
            </w:r>
            <w:r w:rsidRPr="003F7B0D">
              <w:t>:</w:t>
            </w:r>
          </w:p>
        </w:tc>
        <w:tc>
          <w:tcPr>
            <w:tcW w:w="3361" w:type="pct"/>
            <w:shd w:val="clear" w:color="auto" w:fill="auto"/>
          </w:tcPr>
          <w:p w14:paraId="1313DE71" w14:textId="6332F691" w:rsidR="00A469D6" w:rsidRPr="003F7B0D" w:rsidRDefault="008B262D" w:rsidP="00A469D6">
            <w:r>
              <w:t>Novostavba železniční infrastruktury</w:t>
            </w:r>
          </w:p>
        </w:tc>
      </w:tr>
      <w:tr w:rsidR="006A7AB7" w:rsidRPr="00BF5681" w14:paraId="0C7098AF" w14:textId="77777777" w:rsidTr="00421D51">
        <w:trPr>
          <w:trHeight w:val="20"/>
          <w:tblHeader/>
        </w:trPr>
        <w:tc>
          <w:tcPr>
            <w:tcW w:w="1639" w:type="pct"/>
            <w:shd w:val="clear" w:color="auto" w:fill="F2F2F2" w:themeFill="background1" w:themeFillShade="F2"/>
          </w:tcPr>
          <w:p w14:paraId="36E4A414" w14:textId="4997860A" w:rsidR="006A7AB7" w:rsidRDefault="006A7AB7" w:rsidP="00A469D6">
            <w:r>
              <w:t>Termín realizace:</w:t>
            </w:r>
          </w:p>
        </w:tc>
        <w:tc>
          <w:tcPr>
            <w:tcW w:w="3361" w:type="pct"/>
            <w:shd w:val="clear" w:color="auto" w:fill="auto"/>
          </w:tcPr>
          <w:p w14:paraId="7C776BD4" w14:textId="0BA42A10" w:rsidR="006A7AB7" w:rsidRPr="003F7B0D" w:rsidRDefault="008B262D" w:rsidP="00A469D6">
            <w:r>
              <w:t>2027 – 2028</w:t>
            </w:r>
          </w:p>
        </w:tc>
      </w:tr>
    </w:tbl>
    <w:p w14:paraId="3F7D78C2" w14:textId="77777777" w:rsidR="00A469D6" w:rsidRDefault="00A469D6" w:rsidP="00A469D6"/>
    <w:p w14:paraId="2D902CCF" w14:textId="440621FB" w:rsidR="005A07BE" w:rsidRDefault="006433D0" w:rsidP="00A469D6">
      <w:pPr>
        <w:pStyle w:val="Nadpis2"/>
      </w:pPr>
      <w:r>
        <w:t>Celkové n</w:t>
      </w:r>
      <w:r w:rsidR="005720F5">
        <w:t>áklady</w:t>
      </w:r>
      <w:r w:rsidR="00CD1EB7">
        <w:t xml:space="preserve"> projektu</w:t>
      </w:r>
    </w:p>
    <w:p w14:paraId="0082299F" w14:textId="519C491B" w:rsidR="00A36889" w:rsidRPr="007C115C" w:rsidRDefault="00A36889" w:rsidP="00A469D6">
      <w:pPr>
        <w:rPr>
          <w:rStyle w:val="Siln"/>
        </w:rPr>
      </w:pPr>
      <w:r w:rsidRPr="003645DA">
        <w:rPr>
          <w:rStyle w:val="Siln"/>
        </w:rPr>
        <w:t xml:space="preserve">Předpokládané celkové investiční náklady v cenové úrovni roku </w:t>
      </w:r>
      <w:r w:rsidR="007C115C">
        <w:rPr>
          <w:rStyle w:val="Siln"/>
        </w:rPr>
        <w:t>2024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82"/>
        <w:gridCol w:w="2090"/>
        <w:gridCol w:w="2090"/>
      </w:tblGrid>
      <w:tr w:rsidR="00A36889" w:rsidRPr="005E6070" w14:paraId="79F92B2B" w14:textId="77777777" w:rsidTr="00421D51">
        <w:trPr>
          <w:tblHeader/>
        </w:trPr>
        <w:tc>
          <w:tcPr>
            <w:tcW w:w="4882" w:type="dxa"/>
            <w:shd w:val="clear" w:color="auto" w:fill="BDD6EE" w:themeFill="accent1" w:themeFillTint="66"/>
          </w:tcPr>
          <w:p w14:paraId="1C8359CF" w14:textId="58D9B0B2" w:rsidR="00A36889" w:rsidRPr="005E6070" w:rsidRDefault="00E67FE0" w:rsidP="005E6070">
            <w:pPr>
              <w:rPr>
                <w:b/>
              </w:rPr>
            </w:pPr>
            <w:r w:rsidRPr="005E6070">
              <w:rPr>
                <w:b/>
              </w:rPr>
              <w:t>Zdroj</w:t>
            </w:r>
          </w:p>
        </w:tc>
        <w:tc>
          <w:tcPr>
            <w:tcW w:w="2090" w:type="dxa"/>
            <w:shd w:val="clear" w:color="auto" w:fill="BDD6EE" w:themeFill="accent1" w:themeFillTint="66"/>
          </w:tcPr>
          <w:p w14:paraId="761911A5" w14:textId="77777777" w:rsidR="00A36889" w:rsidRPr="005E6070" w:rsidRDefault="00A36889" w:rsidP="005E6070">
            <w:pPr>
              <w:rPr>
                <w:b/>
              </w:rPr>
            </w:pPr>
            <w:r w:rsidRPr="005E6070">
              <w:rPr>
                <w:b/>
              </w:rPr>
              <w:t>tis. Kč (bez DPH)</w:t>
            </w:r>
          </w:p>
        </w:tc>
        <w:tc>
          <w:tcPr>
            <w:tcW w:w="2090" w:type="dxa"/>
            <w:shd w:val="clear" w:color="auto" w:fill="BDD6EE" w:themeFill="accent1" w:themeFillTint="66"/>
          </w:tcPr>
          <w:p w14:paraId="3AC6DC2B" w14:textId="77777777" w:rsidR="00A36889" w:rsidRPr="005E6070" w:rsidRDefault="00A36889" w:rsidP="005E6070">
            <w:pPr>
              <w:rPr>
                <w:b/>
              </w:rPr>
            </w:pPr>
            <w:r w:rsidRPr="005E6070">
              <w:rPr>
                <w:b/>
              </w:rPr>
              <w:t>tis. Kč (vč. DPH)</w:t>
            </w:r>
          </w:p>
        </w:tc>
      </w:tr>
      <w:tr w:rsidR="00A36889" w:rsidRPr="009A4EA3" w14:paraId="515DEB4D" w14:textId="77777777" w:rsidTr="00421D51">
        <w:trPr>
          <w:tblHeader/>
        </w:trPr>
        <w:tc>
          <w:tcPr>
            <w:tcW w:w="4882" w:type="dxa"/>
            <w:shd w:val="clear" w:color="auto" w:fill="F2F2F2" w:themeFill="background1" w:themeFillShade="F2"/>
          </w:tcPr>
          <w:p w14:paraId="66FA10BF" w14:textId="132C3294" w:rsidR="00A36889" w:rsidRPr="009A4EA3" w:rsidRDefault="00A36889" w:rsidP="005E6070">
            <w:r w:rsidRPr="005A4694">
              <w:t xml:space="preserve">Veřejné rozpočty </w:t>
            </w:r>
            <w:r w:rsidRPr="00E67FE0">
              <w:rPr>
                <w:sz w:val="18"/>
              </w:rPr>
              <w:t>(SFDI, OPD, TEN-T, EIB)</w:t>
            </w:r>
          </w:p>
        </w:tc>
        <w:tc>
          <w:tcPr>
            <w:tcW w:w="2090" w:type="dxa"/>
          </w:tcPr>
          <w:p w14:paraId="2261609B" w14:textId="1789A9A7" w:rsidR="00A36889" w:rsidRPr="009A4EA3" w:rsidRDefault="00430242" w:rsidP="002E02A9">
            <w:pPr>
              <w:jc w:val="right"/>
            </w:pPr>
            <w:r>
              <w:t>650 087</w:t>
            </w:r>
          </w:p>
        </w:tc>
        <w:tc>
          <w:tcPr>
            <w:tcW w:w="2090" w:type="dxa"/>
          </w:tcPr>
          <w:p w14:paraId="0CC3DF65" w14:textId="3B451DA1" w:rsidR="00A36889" w:rsidRPr="009A4EA3" w:rsidRDefault="00430242" w:rsidP="002E02A9">
            <w:pPr>
              <w:jc w:val="right"/>
            </w:pPr>
            <w:r>
              <w:t>786 605</w:t>
            </w:r>
          </w:p>
        </w:tc>
      </w:tr>
      <w:tr w:rsidR="00A36889" w:rsidRPr="009A4EA3" w14:paraId="139ED52D" w14:textId="77777777" w:rsidTr="00421D51">
        <w:trPr>
          <w:tblHeader/>
        </w:trPr>
        <w:tc>
          <w:tcPr>
            <w:tcW w:w="4882" w:type="dxa"/>
            <w:shd w:val="clear" w:color="auto" w:fill="F2F2F2" w:themeFill="background1" w:themeFillShade="F2"/>
          </w:tcPr>
          <w:p w14:paraId="1E7DE82E" w14:textId="0A0144EF" w:rsidR="00A36889" w:rsidRPr="00274D63" w:rsidRDefault="00A36889" w:rsidP="005E6070">
            <w:pPr>
              <w:rPr>
                <w:i/>
                <w:sz w:val="16"/>
                <w:szCs w:val="16"/>
              </w:rPr>
            </w:pPr>
            <w:r w:rsidRPr="009A4EA3">
              <w:t>Ostatní veřejné zdroje</w:t>
            </w:r>
            <w:r w:rsidR="00E67FE0">
              <w:t xml:space="preserve"> </w:t>
            </w:r>
            <w:r w:rsidRPr="00E67FE0">
              <w:t>(uvést zdroj)</w:t>
            </w:r>
          </w:p>
        </w:tc>
        <w:tc>
          <w:tcPr>
            <w:tcW w:w="2090" w:type="dxa"/>
          </w:tcPr>
          <w:p w14:paraId="5F40E282" w14:textId="77777777" w:rsidR="00A36889" w:rsidRPr="009A4EA3" w:rsidRDefault="00A36889" w:rsidP="002E02A9">
            <w:pPr>
              <w:jc w:val="right"/>
            </w:pPr>
          </w:p>
        </w:tc>
        <w:tc>
          <w:tcPr>
            <w:tcW w:w="2090" w:type="dxa"/>
          </w:tcPr>
          <w:p w14:paraId="573E7F19" w14:textId="77777777" w:rsidR="00A36889" w:rsidRPr="009A4EA3" w:rsidRDefault="00A36889" w:rsidP="002E02A9">
            <w:pPr>
              <w:jc w:val="right"/>
            </w:pPr>
          </w:p>
        </w:tc>
      </w:tr>
      <w:tr w:rsidR="00A36889" w:rsidRPr="009A4EA3" w14:paraId="4FC331B8" w14:textId="77777777" w:rsidTr="00421D51">
        <w:trPr>
          <w:tblHeader/>
        </w:trPr>
        <w:tc>
          <w:tcPr>
            <w:tcW w:w="4882" w:type="dxa"/>
            <w:shd w:val="clear" w:color="auto" w:fill="F2F2F2" w:themeFill="background1" w:themeFillShade="F2"/>
          </w:tcPr>
          <w:p w14:paraId="4F64D2D3" w14:textId="77777777" w:rsidR="00A36889" w:rsidRPr="009A4EA3" w:rsidRDefault="00A36889" w:rsidP="005E6070">
            <w:r w:rsidRPr="009A4EA3">
              <w:t>Soukromé zdroje</w:t>
            </w:r>
          </w:p>
        </w:tc>
        <w:tc>
          <w:tcPr>
            <w:tcW w:w="2090" w:type="dxa"/>
          </w:tcPr>
          <w:p w14:paraId="69F8BA52" w14:textId="77777777" w:rsidR="00A36889" w:rsidRPr="009A4EA3" w:rsidRDefault="00A36889" w:rsidP="002E02A9">
            <w:pPr>
              <w:jc w:val="right"/>
            </w:pPr>
          </w:p>
        </w:tc>
        <w:tc>
          <w:tcPr>
            <w:tcW w:w="2090" w:type="dxa"/>
          </w:tcPr>
          <w:p w14:paraId="0610DB8C" w14:textId="77777777" w:rsidR="00A36889" w:rsidRPr="009A4EA3" w:rsidRDefault="00A36889" w:rsidP="002E02A9">
            <w:pPr>
              <w:jc w:val="right"/>
            </w:pPr>
          </w:p>
        </w:tc>
      </w:tr>
      <w:tr w:rsidR="00A36889" w:rsidRPr="00F8567C" w14:paraId="2EC495B7" w14:textId="77777777" w:rsidTr="00421D51">
        <w:trPr>
          <w:tblHeader/>
        </w:trPr>
        <w:tc>
          <w:tcPr>
            <w:tcW w:w="4882" w:type="dxa"/>
            <w:shd w:val="clear" w:color="auto" w:fill="F2F2F2" w:themeFill="background1" w:themeFillShade="F2"/>
          </w:tcPr>
          <w:p w14:paraId="0E5751F7" w14:textId="6306EBE9" w:rsidR="00A36889" w:rsidRPr="00F8567C" w:rsidRDefault="00A36889" w:rsidP="005E6070">
            <w:pPr>
              <w:rPr>
                <w:b/>
                <w:bCs/>
              </w:rPr>
            </w:pPr>
            <w:r w:rsidRPr="00F8567C">
              <w:rPr>
                <w:b/>
                <w:bCs/>
              </w:rPr>
              <w:t>Celkem</w:t>
            </w:r>
            <w:r w:rsidR="00B718F0" w:rsidRPr="00F8567C">
              <w:rPr>
                <w:rStyle w:val="Znakapoznpodarou"/>
                <w:b/>
                <w:bCs/>
              </w:rPr>
              <w:footnoteReference w:id="2"/>
            </w:r>
          </w:p>
        </w:tc>
        <w:tc>
          <w:tcPr>
            <w:tcW w:w="2090" w:type="dxa"/>
            <w:shd w:val="clear" w:color="auto" w:fill="auto"/>
          </w:tcPr>
          <w:p w14:paraId="46F01658" w14:textId="6EADE055" w:rsidR="00A36889" w:rsidRPr="00F8567C" w:rsidRDefault="00430242" w:rsidP="002E02A9">
            <w:pPr>
              <w:jc w:val="right"/>
              <w:rPr>
                <w:b/>
                <w:bCs/>
              </w:rPr>
            </w:pPr>
            <w:r>
              <w:rPr>
                <w:b/>
                <w:bCs/>
              </w:rPr>
              <w:t>650 087</w:t>
            </w:r>
          </w:p>
        </w:tc>
        <w:tc>
          <w:tcPr>
            <w:tcW w:w="2090" w:type="dxa"/>
            <w:shd w:val="clear" w:color="auto" w:fill="auto"/>
          </w:tcPr>
          <w:p w14:paraId="03960EDB" w14:textId="770367DB" w:rsidR="00A36889" w:rsidRPr="00F8567C" w:rsidRDefault="00430242" w:rsidP="002E02A9">
            <w:pPr>
              <w:jc w:val="right"/>
              <w:rPr>
                <w:b/>
                <w:bCs/>
              </w:rPr>
            </w:pPr>
            <w:r>
              <w:rPr>
                <w:b/>
                <w:bCs/>
              </w:rPr>
              <w:t>786 605</w:t>
            </w:r>
          </w:p>
        </w:tc>
      </w:tr>
    </w:tbl>
    <w:p w14:paraId="35BC14ED" w14:textId="77777777" w:rsidR="005E6070" w:rsidRDefault="005E6070" w:rsidP="003645DA">
      <w:pPr>
        <w:rPr>
          <w:rStyle w:val="Siln"/>
        </w:rPr>
      </w:pPr>
    </w:p>
    <w:p w14:paraId="1F1B08B4" w14:textId="77777777" w:rsidR="00E72F4A" w:rsidRDefault="00E72F4A" w:rsidP="003645DA">
      <w:pPr>
        <w:rPr>
          <w:rStyle w:val="Siln"/>
        </w:rPr>
      </w:pPr>
    </w:p>
    <w:p w14:paraId="36D34837" w14:textId="77777777" w:rsidR="00E72F4A" w:rsidRDefault="00E72F4A" w:rsidP="003645DA">
      <w:pPr>
        <w:rPr>
          <w:rStyle w:val="Siln"/>
        </w:rPr>
      </w:pPr>
    </w:p>
    <w:p w14:paraId="53063010" w14:textId="77777777" w:rsidR="00E72F4A" w:rsidRDefault="00E72F4A" w:rsidP="003645DA">
      <w:pPr>
        <w:rPr>
          <w:rStyle w:val="Siln"/>
        </w:rPr>
      </w:pPr>
    </w:p>
    <w:p w14:paraId="479705D6" w14:textId="77777777" w:rsidR="00E72F4A" w:rsidRDefault="00E72F4A" w:rsidP="003645DA">
      <w:pPr>
        <w:rPr>
          <w:rStyle w:val="Siln"/>
        </w:rPr>
      </w:pPr>
    </w:p>
    <w:p w14:paraId="1E13BCF6" w14:textId="6160F94B" w:rsidR="00BE45B8" w:rsidRDefault="00BE45B8" w:rsidP="003645DA">
      <w:pPr>
        <w:rPr>
          <w:rStyle w:val="Siln"/>
        </w:rPr>
      </w:pPr>
      <w:r w:rsidRPr="003645DA">
        <w:rPr>
          <w:rStyle w:val="Siln"/>
        </w:rPr>
        <w:lastRenderedPageBreak/>
        <w:t>Předpokládané celkové investiční náklady</w:t>
      </w:r>
      <w:r w:rsidR="00E05638">
        <w:rPr>
          <w:rStyle w:val="Siln"/>
        </w:rPr>
        <w:t xml:space="preserve"> ve smíšené cenové úrovni let 202</w:t>
      </w:r>
      <w:r w:rsidR="00BA5384">
        <w:rPr>
          <w:rStyle w:val="Siln"/>
        </w:rPr>
        <w:t>1</w:t>
      </w:r>
      <w:r w:rsidR="00E05638">
        <w:rPr>
          <w:rStyle w:val="Siln"/>
        </w:rPr>
        <w:t xml:space="preserve"> – 2028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82"/>
        <w:gridCol w:w="2090"/>
        <w:gridCol w:w="2090"/>
      </w:tblGrid>
      <w:tr w:rsidR="00BE45B8" w:rsidRPr="005E6070" w14:paraId="3754B374" w14:textId="77777777" w:rsidTr="008751B5">
        <w:trPr>
          <w:tblHeader/>
        </w:trPr>
        <w:tc>
          <w:tcPr>
            <w:tcW w:w="4882" w:type="dxa"/>
            <w:shd w:val="clear" w:color="auto" w:fill="BDD6EE" w:themeFill="accent1" w:themeFillTint="66"/>
          </w:tcPr>
          <w:p w14:paraId="61286EAC" w14:textId="77777777" w:rsidR="00BE45B8" w:rsidRPr="005E6070" w:rsidRDefault="00BE45B8" w:rsidP="008751B5">
            <w:pPr>
              <w:rPr>
                <w:b/>
              </w:rPr>
            </w:pPr>
            <w:r w:rsidRPr="005E6070">
              <w:rPr>
                <w:b/>
              </w:rPr>
              <w:t>Zdroj</w:t>
            </w:r>
          </w:p>
        </w:tc>
        <w:tc>
          <w:tcPr>
            <w:tcW w:w="2090" w:type="dxa"/>
            <w:shd w:val="clear" w:color="auto" w:fill="BDD6EE" w:themeFill="accent1" w:themeFillTint="66"/>
          </w:tcPr>
          <w:p w14:paraId="672A9E44" w14:textId="77777777" w:rsidR="00BE45B8" w:rsidRPr="005E6070" w:rsidRDefault="00BE45B8" w:rsidP="008751B5">
            <w:pPr>
              <w:rPr>
                <w:b/>
              </w:rPr>
            </w:pPr>
            <w:r w:rsidRPr="005E6070">
              <w:rPr>
                <w:b/>
              </w:rPr>
              <w:t>tis. Kč (bez DPH)</w:t>
            </w:r>
          </w:p>
        </w:tc>
        <w:tc>
          <w:tcPr>
            <w:tcW w:w="2090" w:type="dxa"/>
            <w:shd w:val="clear" w:color="auto" w:fill="BDD6EE" w:themeFill="accent1" w:themeFillTint="66"/>
          </w:tcPr>
          <w:p w14:paraId="6906721D" w14:textId="77777777" w:rsidR="00BE45B8" w:rsidRPr="005E6070" w:rsidRDefault="00BE45B8" w:rsidP="008751B5">
            <w:pPr>
              <w:rPr>
                <w:b/>
              </w:rPr>
            </w:pPr>
            <w:r w:rsidRPr="005E6070">
              <w:rPr>
                <w:b/>
              </w:rPr>
              <w:t>tis. Kč (vč. DPH)</w:t>
            </w:r>
          </w:p>
        </w:tc>
      </w:tr>
      <w:tr w:rsidR="00BE45B8" w:rsidRPr="009A4EA3" w14:paraId="0CD5B6BA" w14:textId="77777777" w:rsidTr="008751B5">
        <w:trPr>
          <w:tblHeader/>
        </w:trPr>
        <w:tc>
          <w:tcPr>
            <w:tcW w:w="4882" w:type="dxa"/>
            <w:shd w:val="clear" w:color="auto" w:fill="F2F2F2" w:themeFill="background1" w:themeFillShade="F2"/>
          </w:tcPr>
          <w:p w14:paraId="477538B7" w14:textId="77777777" w:rsidR="00BE45B8" w:rsidRPr="009A4EA3" w:rsidRDefault="00BE45B8" w:rsidP="008751B5">
            <w:r w:rsidRPr="005A4694">
              <w:t xml:space="preserve">Veřejné rozpočty </w:t>
            </w:r>
            <w:r w:rsidRPr="00E67FE0">
              <w:rPr>
                <w:sz w:val="18"/>
              </w:rPr>
              <w:t>(SFDI, OPD, TEN-T, EIB)</w:t>
            </w:r>
          </w:p>
        </w:tc>
        <w:tc>
          <w:tcPr>
            <w:tcW w:w="2090" w:type="dxa"/>
          </w:tcPr>
          <w:p w14:paraId="770D9A92" w14:textId="3E386A11" w:rsidR="00BE45B8" w:rsidRPr="009A4EA3" w:rsidRDefault="008B262D" w:rsidP="008751B5">
            <w:pPr>
              <w:jc w:val="right"/>
            </w:pPr>
            <w:r>
              <w:t>683 692</w:t>
            </w:r>
          </w:p>
        </w:tc>
        <w:tc>
          <w:tcPr>
            <w:tcW w:w="2090" w:type="dxa"/>
          </w:tcPr>
          <w:p w14:paraId="5FEFC7ED" w14:textId="4F3218DC" w:rsidR="00BE45B8" w:rsidRPr="009A4EA3" w:rsidRDefault="008B262D" w:rsidP="008751B5">
            <w:pPr>
              <w:jc w:val="right"/>
            </w:pPr>
            <w:r>
              <w:t>827 267</w:t>
            </w:r>
          </w:p>
        </w:tc>
      </w:tr>
      <w:tr w:rsidR="00BE45B8" w:rsidRPr="009A4EA3" w14:paraId="6B597666" w14:textId="77777777" w:rsidTr="008751B5">
        <w:trPr>
          <w:tblHeader/>
        </w:trPr>
        <w:tc>
          <w:tcPr>
            <w:tcW w:w="4882" w:type="dxa"/>
            <w:shd w:val="clear" w:color="auto" w:fill="F2F2F2" w:themeFill="background1" w:themeFillShade="F2"/>
          </w:tcPr>
          <w:p w14:paraId="7DCFB90F" w14:textId="77777777" w:rsidR="00BE45B8" w:rsidRPr="00274D63" w:rsidRDefault="00BE45B8" w:rsidP="008751B5">
            <w:pPr>
              <w:rPr>
                <w:i/>
                <w:sz w:val="16"/>
                <w:szCs w:val="16"/>
              </w:rPr>
            </w:pPr>
            <w:r w:rsidRPr="009A4EA3">
              <w:t>Ostatní veřejné zdroje</w:t>
            </w:r>
            <w:r>
              <w:t xml:space="preserve"> </w:t>
            </w:r>
            <w:r w:rsidRPr="00E67FE0">
              <w:t>(uvést zdroj)</w:t>
            </w:r>
          </w:p>
        </w:tc>
        <w:tc>
          <w:tcPr>
            <w:tcW w:w="2090" w:type="dxa"/>
          </w:tcPr>
          <w:p w14:paraId="24FB7D32" w14:textId="77777777" w:rsidR="00BE45B8" w:rsidRPr="009A4EA3" w:rsidRDefault="00BE45B8" w:rsidP="008751B5">
            <w:pPr>
              <w:jc w:val="right"/>
            </w:pPr>
          </w:p>
        </w:tc>
        <w:tc>
          <w:tcPr>
            <w:tcW w:w="2090" w:type="dxa"/>
          </w:tcPr>
          <w:p w14:paraId="5EFEADAC" w14:textId="77777777" w:rsidR="00BE45B8" w:rsidRPr="009A4EA3" w:rsidRDefault="00BE45B8" w:rsidP="008751B5">
            <w:pPr>
              <w:jc w:val="right"/>
            </w:pPr>
          </w:p>
        </w:tc>
      </w:tr>
      <w:tr w:rsidR="00BE45B8" w:rsidRPr="009A4EA3" w14:paraId="4BD65AF5" w14:textId="77777777" w:rsidTr="008751B5">
        <w:trPr>
          <w:tblHeader/>
        </w:trPr>
        <w:tc>
          <w:tcPr>
            <w:tcW w:w="4882" w:type="dxa"/>
            <w:shd w:val="clear" w:color="auto" w:fill="F2F2F2" w:themeFill="background1" w:themeFillShade="F2"/>
          </w:tcPr>
          <w:p w14:paraId="62201BDE" w14:textId="77777777" w:rsidR="00BE45B8" w:rsidRPr="009A4EA3" w:rsidRDefault="00BE45B8" w:rsidP="008751B5">
            <w:r w:rsidRPr="009A4EA3">
              <w:t>Soukromé zdroje</w:t>
            </w:r>
          </w:p>
        </w:tc>
        <w:tc>
          <w:tcPr>
            <w:tcW w:w="2090" w:type="dxa"/>
          </w:tcPr>
          <w:p w14:paraId="04D9F463" w14:textId="77777777" w:rsidR="00BE45B8" w:rsidRPr="009A4EA3" w:rsidRDefault="00BE45B8" w:rsidP="008751B5">
            <w:pPr>
              <w:jc w:val="right"/>
            </w:pPr>
          </w:p>
        </w:tc>
        <w:tc>
          <w:tcPr>
            <w:tcW w:w="2090" w:type="dxa"/>
          </w:tcPr>
          <w:p w14:paraId="38811A2F" w14:textId="77777777" w:rsidR="00BE45B8" w:rsidRPr="009A4EA3" w:rsidRDefault="00BE45B8" w:rsidP="008751B5">
            <w:pPr>
              <w:jc w:val="right"/>
            </w:pPr>
          </w:p>
        </w:tc>
      </w:tr>
      <w:tr w:rsidR="00BE45B8" w:rsidRPr="00F8567C" w14:paraId="6F79B788" w14:textId="77777777" w:rsidTr="008751B5">
        <w:trPr>
          <w:tblHeader/>
        </w:trPr>
        <w:tc>
          <w:tcPr>
            <w:tcW w:w="4882" w:type="dxa"/>
            <w:shd w:val="clear" w:color="auto" w:fill="F2F2F2" w:themeFill="background1" w:themeFillShade="F2"/>
          </w:tcPr>
          <w:p w14:paraId="796C59B1" w14:textId="77777777" w:rsidR="00BE45B8" w:rsidRPr="00F8567C" w:rsidRDefault="00BE45B8" w:rsidP="008751B5">
            <w:pPr>
              <w:rPr>
                <w:b/>
                <w:bCs/>
              </w:rPr>
            </w:pPr>
            <w:r w:rsidRPr="00F8567C">
              <w:rPr>
                <w:b/>
                <w:bCs/>
              </w:rPr>
              <w:t>Celkem</w:t>
            </w:r>
            <w:r w:rsidRPr="00F8567C">
              <w:rPr>
                <w:rStyle w:val="Znakapoznpodarou"/>
                <w:b/>
                <w:bCs/>
              </w:rPr>
              <w:footnoteReference w:id="3"/>
            </w:r>
          </w:p>
        </w:tc>
        <w:tc>
          <w:tcPr>
            <w:tcW w:w="2090" w:type="dxa"/>
            <w:shd w:val="clear" w:color="auto" w:fill="auto"/>
          </w:tcPr>
          <w:p w14:paraId="4CB9E2B2" w14:textId="5448ED9F" w:rsidR="00BE45B8" w:rsidRPr="00F8567C" w:rsidRDefault="00430242" w:rsidP="008751B5">
            <w:pPr>
              <w:jc w:val="right"/>
              <w:rPr>
                <w:b/>
                <w:bCs/>
              </w:rPr>
            </w:pPr>
            <w:r>
              <w:rPr>
                <w:b/>
                <w:bCs/>
              </w:rPr>
              <w:t>683 692</w:t>
            </w:r>
          </w:p>
        </w:tc>
        <w:tc>
          <w:tcPr>
            <w:tcW w:w="2090" w:type="dxa"/>
            <w:shd w:val="clear" w:color="auto" w:fill="auto"/>
          </w:tcPr>
          <w:p w14:paraId="123AA933" w14:textId="69A38993" w:rsidR="00BE45B8" w:rsidRPr="00F8567C" w:rsidRDefault="00430242" w:rsidP="008751B5">
            <w:pPr>
              <w:jc w:val="right"/>
              <w:rPr>
                <w:b/>
                <w:bCs/>
              </w:rPr>
            </w:pPr>
            <w:r>
              <w:rPr>
                <w:b/>
                <w:bCs/>
              </w:rPr>
              <w:t>827 267</w:t>
            </w:r>
          </w:p>
        </w:tc>
      </w:tr>
    </w:tbl>
    <w:p w14:paraId="11D2ED0E" w14:textId="77777777" w:rsidR="00BE45B8" w:rsidRDefault="00BE45B8" w:rsidP="003645DA">
      <w:pPr>
        <w:rPr>
          <w:rStyle w:val="Siln"/>
        </w:rPr>
      </w:pPr>
    </w:p>
    <w:p w14:paraId="77D78DB3" w14:textId="316020FB" w:rsidR="003645DA" w:rsidRPr="007C115C" w:rsidRDefault="003645DA" w:rsidP="003645DA">
      <w:pPr>
        <w:rPr>
          <w:rStyle w:val="Siln"/>
        </w:rPr>
      </w:pPr>
      <w:r w:rsidRPr="003645DA">
        <w:rPr>
          <w:rStyle w:val="Siln"/>
        </w:rPr>
        <w:t>Předpokládané celkové neinvestiční náklady v cenové úrovni roku</w:t>
      </w:r>
      <w:r>
        <w:rPr>
          <w:rStyle w:val="Siln"/>
        </w:rPr>
        <w:t xml:space="preserve"> </w:t>
      </w:r>
      <w:r w:rsidR="007C115C">
        <w:rPr>
          <w:rStyle w:val="Siln"/>
        </w:rPr>
        <w:t>2024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82"/>
        <w:gridCol w:w="2090"/>
        <w:gridCol w:w="2090"/>
      </w:tblGrid>
      <w:tr w:rsidR="00E67FE0" w:rsidRPr="005E6070" w14:paraId="486CAD7B" w14:textId="77777777" w:rsidTr="00421D51">
        <w:trPr>
          <w:tblHeader/>
        </w:trPr>
        <w:tc>
          <w:tcPr>
            <w:tcW w:w="4882" w:type="dxa"/>
            <w:shd w:val="clear" w:color="auto" w:fill="BDD6EE" w:themeFill="accent1" w:themeFillTint="66"/>
          </w:tcPr>
          <w:p w14:paraId="02CBD3AC" w14:textId="77777777" w:rsidR="00E67FE0" w:rsidRPr="005E6070" w:rsidRDefault="00E67FE0" w:rsidP="005E6070">
            <w:pPr>
              <w:rPr>
                <w:b/>
              </w:rPr>
            </w:pPr>
            <w:r w:rsidRPr="005E6070">
              <w:rPr>
                <w:b/>
              </w:rPr>
              <w:t>Zdroj</w:t>
            </w:r>
          </w:p>
        </w:tc>
        <w:tc>
          <w:tcPr>
            <w:tcW w:w="2090" w:type="dxa"/>
            <w:shd w:val="clear" w:color="auto" w:fill="BDD6EE" w:themeFill="accent1" w:themeFillTint="66"/>
          </w:tcPr>
          <w:p w14:paraId="60842621" w14:textId="77777777" w:rsidR="00E67FE0" w:rsidRPr="005E6070" w:rsidRDefault="00E67FE0" w:rsidP="005E6070">
            <w:pPr>
              <w:rPr>
                <w:b/>
              </w:rPr>
            </w:pPr>
            <w:r w:rsidRPr="005E6070">
              <w:rPr>
                <w:b/>
              </w:rPr>
              <w:t>tis. Kč (bez DPH)</w:t>
            </w:r>
          </w:p>
        </w:tc>
        <w:tc>
          <w:tcPr>
            <w:tcW w:w="2090" w:type="dxa"/>
            <w:shd w:val="clear" w:color="auto" w:fill="BDD6EE" w:themeFill="accent1" w:themeFillTint="66"/>
          </w:tcPr>
          <w:p w14:paraId="48B7A61E" w14:textId="77777777" w:rsidR="00E67FE0" w:rsidRPr="005E6070" w:rsidRDefault="00E67FE0" w:rsidP="005E6070">
            <w:pPr>
              <w:rPr>
                <w:b/>
              </w:rPr>
            </w:pPr>
            <w:r w:rsidRPr="005E6070">
              <w:rPr>
                <w:b/>
              </w:rPr>
              <w:t>tis. Kč (vč. DPH)</w:t>
            </w:r>
          </w:p>
        </w:tc>
      </w:tr>
      <w:tr w:rsidR="00E67FE0" w:rsidRPr="009A4EA3" w14:paraId="3ACA3135" w14:textId="77777777" w:rsidTr="00421D51">
        <w:trPr>
          <w:tblHeader/>
        </w:trPr>
        <w:tc>
          <w:tcPr>
            <w:tcW w:w="4882" w:type="dxa"/>
            <w:shd w:val="clear" w:color="auto" w:fill="F2F2F2" w:themeFill="background1" w:themeFillShade="F2"/>
          </w:tcPr>
          <w:p w14:paraId="0C4826B2" w14:textId="22079B8D" w:rsidR="00E67FE0" w:rsidRPr="009A4EA3" w:rsidRDefault="00E67FE0" w:rsidP="005E6070">
            <w:r w:rsidRPr="005A4694">
              <w:t xml:space="preserve">Veřejné rozpočty </w:t>
            </w:r>
            <w:r w:rsidRPr="00E67FE0">
              <w:rPr>
                <w:sz w:val="18"/>
              </w:rPr>
              <w:t>(SFDI, MD – kap. 327, OPD, TEN-T, EIB)</w:t>
            </w:r>
          </w:p>
        </w:tc>
        <w:tc>
          <w:tcPr>
            <w:tcW w:w="2090" w:type="dxa"/>
          </w:tcPr>
          <w:p w14:paraId="47013A6E" w14:textId="77777777" w:rsidR="00E67FE0" w:rsidRPr="009A4EA3" w:rsidRDefault="00E67FE0" w:rsidP="002E02A9">
            <w:pPr>
              <w:jc w:val="right"/>
            </w:pPr>
          </w:p>
        </w:tc>
        <w:tc>
          <w:tcPr>
            <w:tcW w:w="2090" w:type="dxa"/>
          </w:tcPr>
          <w:p w14:paraId="152B578B" w14:textId="77777777" w:rsidR="00E67FE0" w:rsidRPr="009A4EA3" w:rsidRDefault="00E67FE0" w:rsidP="002E02A9">
            <w:pPr>
              <w:jc w:val="right"/>
            </w:pPr>
          </w:p>
        </w:tc>
      </w:tr>
      <w:tr w:rsidR="00E67FE0" w:rsidRPr="009A4EA3" w14:paraId="126FC2F7" w14:textId="77777777" w:rsidTr="00421D51">
        <w:trPr>
          <w:tblHeader/>
        </w:trPr>
        <w:tc>
          <w:tcPr>
            <w:tcW w:w="4882" w:type="dxa"/>
            <w:shd w:val="clear" w:color="auto" w:fill="F2F2F2" w:themeFill="background1" w:themeFillShade="F2"/>
          </w:tcPr>
          <w:p w14:paraId="79CEA38E" w14:textId="77777777" w:rsidR="00E67FE0" w:rsidRPr="00274D63" w:rsidRDefault="00E67FE0" w:rsidP="005E6070">
            <w:pPr>
              <w:rPr>
                <w:i/>
                <w:sz w:val="16"/>
                <w:szCs w:val="16"/>
              </w:rPr>
            </w:pPr>
            <w:r w:rsidRPr="009A4EA3">
              <w:t>Ostatní veřejné zdroje</w:t>
            </w:r>
            <w:r>
              <w:t xml:space="preserve"> </w:t>
            </w:r>
            <w:r w:rsidRPr="00E67FE0">
              <w:t>(uvést zdroj)</w:t>
            </w:r>
          </w:p>
        </w:tc>
        <w:tc>
          <w:tcPr>
            <w:tcW w:w="2090" w:type="dxa"/>
          </w:tcPr>
          <w:p w14:paraId="07656E9C" w14:textId="77777777" w:rsidR="00E67FE0" w:rsidRPr="009A4EA3" w:rsidRDefault="00E67FE0" w:rsidP="002E02A9">
            <w:pPr>
              <w:jc w:val="right"/>
            </w:pPr>
          </w:p>
        </w:tc>
        <w:tc>
          <w:tcPr>
            <w:tcW w:w="2090" w:type="dxa"/>
          </w:tcPr>
          <w:p w14:paraId="5950F910" w14:textId="77777777" w:rsidR="00E67FE0" w:rsidRPr="009A4EA3" w:rsidRDefault="00E67FE0" w:rsidP="002E02A9">
            <w:pPr>
              <w:jc w:val="right"/>
            </w:pPr>
          </w:p>
        </w:tc>
      </w:tr>
      <w:tr w:rsidR="00E67FE0" w:rsidRPr="009A4EA3" w14:paraId="2196AB85" w14:textId="77777777" w:rsidTr="00421D51">
        <w:trPr>
          <w:tblHeader/>
        </w:trPr>
        <w:tc>
          <w:tcPr>
            <w:tcW w:w="4882" w:type="dxa"/>
            <w:shd w:val="clear" w:color="auto" w:fill="F2F2F2" w:themeFill="background1" w:themeFillShade="F2"/>
          </w:tcPr>
          <w:p w14:paraId="649743A3" w14:textId="77777777" w:rsidR="00E67FE0" w:rsidRPr="009A4EA3" w:rsidRDefault="00E67FE0" w:rsidP="005E6070">
            <w:r w:rsidRPr="009A4EA3">
              <w:t>Soukromé zdroje</w:t>
            </w:r>
          </w:p>
        </w:tc>
        <w:tc>
          <w:tcPr>
            <w:tcW w:w="2090" w:type="dxa"/>
          </w:tcPr>
          <w:p w14:paraId="1A0AB01D" w14:textId="77777777" w:rsidR="00E67FE0" w:rsidRPr="009A4EA3" w:rsidRDefault="00E67FE0" w:rsidP="002E02A9">
            <w:pPr>
              <w:jc w:val="right"/>
            </w:pPr>
          </w:p>
        </w:tc>
        <w:tc>
          <w:tcPr>
            <w:tcW w:w="2090" w:type="dxa"/>
          </w:tcPr>
          <w:p w14:paraId="27131198" w14:textId="77777777" w:rsidR="00E67FE0" w:rsidRPr="009A4EA3" w:rsidRDefault="00E67FE0" w:rsidP="002E02A9">
            <w:pPr>
              <w:jc w:val="right"/>
            </w:pPr>
          </w:p>
        </w:tc>
      </w:tr>
      <w:tr w:rsidR="00E67FE0" w:rsidRPr="00F8567C" w14:paraId="7B16BCE9" w14:textId="77777777" w:rsidTr="00421D51">
        <w:trPr>
          <w:tblHeader/>
        </w:trPr>
        <w:tc>
          <w:tcPr>
            <w:tcW w:w="4882" w:type="dxa"/>
            <w:shd w:val="clear" w:color="auto" w:fill="F2F2F2" w:themeFill="background1" w:themeFillShade="F2"/>
          </w:tcPr>
          <w:p w14:paraId="2C3EC2BE" w14:textId="433EAB9A" w:rsidR="00E67FE0" w:rsidRPr="00F8567C" w:rsidRDefault="00E67FE0" w:rsidP="005E6070">
            <w:pPr>
              <w:rPr>
                <w:b/>
                <w:bCs/>
              </w:rPr>
            </w:pPr>
            <w:r w:rsidRPr="00F8567C">
              <w:rPr>
                <w:b/>
                <w:bCs/>
              </w:rPr>
              <w:t>Celkem</w:t>
            </w:r>
            <w:r w:rsidR="00CC0A0A" w:rsidRPr="00F8567C">
              <w:rPr>
                <w:rStyle w:val="Znakapoznpodarou"/>
                <w:b/>
                <w:bCs/>
              </w:rPr>
              <w:footnoteReference w:id="4"/>
            </w:r>
          </w:p>
        </w:tc>
        <w:tc>
          <w:tcPr>
            <w:tcW w:w="2090" w:type="dxa"/>
            <w:shd w:val="clear" w:color="auto" w:fill="auto"/>
          </w:tcPr>
          <w:p w14:paraId="7EC1BA0D" w14:textId="77777777" w:rsidR="00E67FE0" w:rsidRPr="00F8567C" w:rsidRDefault="00E67FE0" w:rsidP="002E02A9">
            <w:pPr>
              <w:jc w:val="right"/>
              <w:rPr>
                <w:b/>
                <w:bCs/>
              </w:rPr>
            </w:pPr>
          </w:p>
        </w:tc>
        <w:tc>
          <w:tcPr>
            <w:tcW w:w="2090" w:type="dxa"/>
            <w:shd w:val="clear" w:color="auto" w:fill="auto"/>
          </w:tcPr>
          <w:p w14:paraId="690B8C6A" w14:textId="77777777" w:rsidR="00E67FE0" w:rsidRPr="00F8567C" w:rsidRDefault="00E67FE0" w:rsidP="002E02A9">
            <w:pPr>
              <w:jc w:val="right"/>
              <w:rPr>
                <w:b/>
                <w:bCs/>
              </w:rPr>
            </w:pPr>
          </w:p>
        </w:tc>
      </w:tr>
    </w:tbl>
    <w:p w14:paraId="07A87578" w14:textId="0ADD6169" w:rsidR="00E67FE0" w:rsidRDefault="00E67FE0" w:rsidP="003645DA">
      <w:pPr>
        <w:rPr>
          <w:rStyle w:val="Siln"/>
          <w:b w:val="0"/>
        </w:rPr>
      </w:pPr>
    </w:p>
    <w:p w14:paraId="0CDEAAFF" w14:textId="5C386262" w:rsidR="00BE45B8" w:rsidRDefault="00BE45B8" w:rsidP="003645DA">
      <w:pPr>
        <w:rPr>
          <w:rStyle w:val="Siln"/>
        </w:rPr>
      </w:pPr>
      <w:r w:rsidRPr="003645DA">
        <w:rPr>
          <w:rStyle w:val="Siln"/>
        </w:rPr>
        <w:t>Předpokládané celkové neinvestiční náklady</w:t>
      </w:r>
      <w:r w:rsidR="00E05638" w:rsidRPr="00E05638">
        <w:rPr>
          <w:rStyle w:val="Siln"/>
        </w:rPr>
        <w:t xml:space="preserve"> </w:t>
      </w:r>
      <w:r w:rsidR="00E05638">
        <w:rPr>
          <w:rStyle w:val="Siln"/>
        </w:rPr>
        <w:t>ve smíšené cenové úrovni let 202</w:t>
      </w:r>
      <w:r w:rsidR="00BA5384">
        <w:rPr>
          <w:rStyle w:val="Siln"/>
        </w:rPr>
        <w:t>1</w:t>
      </w:r>
      <w:r w:rsidR="00E05638">
        <w:rPr>
          <w:rStyle w:val="Siln"/>
        </w:rPr>
        <w:t xml:space="preserve"> – 2028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82"/>
        <w:gridCol w:w="2090"/>
        <w:gridCol w:w="2090"/>
      </w:tblGrid>
      <w:tr w:rsidR="00BE45B8" w:rsidRPr="005E6070" w14:paraId="07DA375C" w14:textId="77777777" w:rsidTr="008751B5">
        <w:trPr>
          <w:tblHeader/>
        </w:trPr>
        <w:tc>
          <w:tcPr>
            <w:tcW w:w="4882" w:type="dxa"/>
            <w:shd w:val="clear" w:color="auto" w:fill="BDD6EE" w:themeFill="accent1" w:themeFillTint="66"/>
          </w:tcPr>
          <w:p w14:paraId="6FD6ECC2" w14:textId="77777777" w:rsidR="00BE45B8" w:rsidRPr="005E6070" w:rsidRDefault="00BE45B8" w:rsidP="008751B5">
            <w:pPr>
              <w:rPr>
                <w:b/>
              </w:rPr>
            </w:pPr>
            <w:r w:rsidRPr="005E6070">
              <w:rPr>
                <w:b/>
              </w:rPr>
              <w:t>Zdroj</w:t>
            </w:r>
          </w:p>
        </w:tc>
        <w:tc>
          <w:tcPr>
            <w:tcW w:w="2090" w:type="dxa"/>
            <w:shd w:val="clear" w:color="auto" w:fill="BDD6EE" w:themeFill="accent1" w:themeFillTint="66"/>
          </w:tcPr>
          <w:p w14:paraId="2345C517" w14:textId="77777777" w:rsidR="00BE45B8" w:rsidRPr="005E6070" w:rsidRDefault="00BE45B8" w:rsidP="008751B5">
            <w:pPr>
              <w:rPr>
                <w:b/>
              </w:rPr>
            </w:pPr>
            <w:r w:rsidRPr="005E6070">
              <w:rPr>
                <w:b/>
              </w:rPr>
              <w:t>tis. Kč (bez DPH)</w:t>
            </w:r>
          </w:p>
        </w:tc>
        <w:tc>
          <w:tcPr>
            <w:tcW w:w="2090" w:type="dxa"/>
            <w:shd w:val="clear" w:color="auto" w:fill="BDD6EE" w:themeFill="accent1" w:themeFillTint="66"/>
          </w:tcPr>
          <w:p w14:paraId="46A6CB83" w14:textId="77777777" w:rsidR="00BE45B8" w:rsidRPr="005E6070" w:rsidRDefault="00BE45B8" w:rsidP="008751B5">
            <w:pPr>
              <w:rPr>
                <w:b/>
              </w:rPr>
            </w:pPr>
            <w:r w:rsidRPr="005E6070">
              <w:rPr>
                <w:b/>
              </w:rPr>
              <w:t>tis. Kč (vč. DPH)</w:t>
            </w:r>
          </w:p>
        </w:tc>
      </w:tr>
      <w:tr w:rsidR="00BE45B8" w:rsidRPr="009A4EA3" w14:paraId="1BFDC660" w14:textId="77777777" w:rsidTr="008751B5">
        <w:trPr>
          <w:tblHeader/>
        </w:trPr>
        <w:tc>
          <w:tcPr>
            <w:tcW w:w="4882" w:type="dxa"/>
            <w:shd w:val="clear" w:color="auto" w:fill="F2F2F2" w:themeFill="background1" w:themeFillShade="F2"/>
          </w:tcPr>
          <w:p w14:paraId="598A84EF" w14:textId="77777777" w:rsidR="00BE45B8" w:rsidRPr="009A4EA3" w:rsidRDefault="00BE45B8" w:rsidP="008751B5">
            <w:r w:rsidRPr="005A4694">
              <w:t xml:space="preserve">Veřejné rozpočty </w:t>
            </w:r>
            <w:r w:rsidRPr="00E67FE0">
              <w:rPr>
                <w:sz w:val="18"/>
              </w:rPr>
              <w:t>(SFDI, MD – kap. 327, OPD, TEN-T, EIB)</w:t>
            </w:r>
          </w:p>
        </w:tc>
        <w:tc>
          <w:tcPr>
            <w:tcW w:w="2090" w:type="dxa"/>
          </w:tcPr>
          <w:p w14:paraId="321AADBA" w14:textId="77777777" w:rsidR="00BE45B8" w:rsidRPr="009A4EA3" w:rsidRDefault="00BE45B8" w:rsidP="008751B5">
            <w:pPr>
              <w:jc w:val="right"/>
            </w:pPr>
          </w:p>
        </w:tc>
        <w:tc>
          <w:tcPr>
            <w:tcW w:w="2090" w:type="dxa"/>
          </w:tcPr>
          <w:p w14:paraId="4487776F" w14:textId="77777777" w:rsidR="00BE45B8" w:rsidRPr="009A4EA3" w:rsidRDefault="00BE45B8" w:rsidP="008751B5">
            <w:pPr>
              <w:jc w:val="right"/>
            </w:pPr>
          </w:p>
        </w:tc>
      </w:tr>
      <w:tr w:rsidR="00BE45B8" w:rsidRPr="009A4EA3" w14:paraId="3AF385E5" w14:textId="77777777" w:rsidTr="008751B5">
        <w:trPr>
          <w:tblHeader/>
        </w:trPr>
        <w:tc>
          <w:tcPr>
            <w:tcW w:w="4882" w:type="dxa"/>
            <w:shd w:val="clear" w:color="auto" w:fill="F2F2F2" w:themeFill="background1" w:themeFillShade="F2"/>
          </w:tcPr>
          <w:p w14:paraId="71B01DAC" w14:textId="77777777" w:rsidR="00BE45B8" w:rsidRPr="00274D63" w:rsidRDefault="00BE45B8" w:rsidP="008751B5">
            <w:pPr>
              <w:rPr>
                <w:i/>
                <w:sz w:val="16"/>
                <w:szCs w:val="16"/>
              </w:rPr>
            </w:pPr>
            <w:r w:rsidRPr="009A4EA3">
              <w:t>Ostatní veřejné zdroje</w:t>
            </w:r>
            <w:r>
              <w:t xml:space="preserve"> </w:t>
            </w:r>
            <w:r w:rsidRPr="00E67FE0">
              <w:t>(uvést zdroj)</w:t>
            </w:r>
          </w:p>
        </w:tc>
        <w:tc>
          <w:tcPr>
            <w:tcW w:w="2090" w:type="dxa"/>
          </w:tcPr>
          <w:p w14:paraId="0C6F56A9" w14:textId="77777777" w:rsidR="00BE45B8" w:rsidRPr="009A4EA3" w:rsidRDefault="00BE45B8" w:rsidP="008751B5">
            <w:pPr>
              <w:jc w:val="right"/>
            </w:pPr>
          </w:p>
        </w:tc>
        <w:tc>
          <w:tcPr>
            <w:tcW w:w="2090" w:type="dxa"/>
          </w:tcPr>
          <w:p w14:paraId="265C3895" w14:textId="77777777" w:rsidR="00BE45B8" w:rsidRPr="009A4EA3" w:rsidRDefault="00BE45B8" w:rsidP="008751B5">
            <w:pPr>
              <w:jc w:val="right"/>
            </w:pPr>
          </w:p>
        </w:tc>
      </w:tr>
      <w:tr w:rsidR="00BE45B8" w:rsidRPr="009A4EA3" w14:paraId="306A9ECD" w14:textId="77777777" w:rsidTr="008751B5">
        <w:trPr>
          <w:tblHeader/>
        </w:trPr>
        <w:tc>
          <w:tcPr>
            <w:tcW w:w="4882" w:type="dxa"/>
            <w:shd w:val="clear" w:color="auto" w:fill="F2F2F2" w:themeFill="background1" w:themeFillShade="F2"/>
          </w:tcPr>
          <w:p w14:paraId="2B646CE6" w14:textId="77777777" w:rsidR="00BE45B8" w:rsidRPr="009A4EA3" w:rsidRDefault="00BE45B8" w:rsidP="008751B5">
            <w:r w:rsidRPr="009A4EA3">
              <w:t>Soukromé zdroje</w:t>
            </w:r>
          </w:p>
        </w:tc>
        <w:tc>
          <w:tcPr>
            <w:tcW w:w="2090" w:type="dxa"/>
          </w:tcPr>
          <w:p w14:paraId="46B26AB4" w14:textId="77777777" w:rsidR="00BE45B8" w:rsidRPr="009A4EA3" w:rsidRDefault="00BE45B8" w:rsidP="008751B5">
            <w:pPr>
              <w:jc w:val="right"/>
            </w:pPr>
          </w:p>
        </w:tc>
        <w:tc>
          <w:tcPr>
            <w:tcW w:w="2090" w:type="dxa"/>
          </w:tcPr>
          <w:p w14:paraId="45B4493E" w14:textId="77777777" w:rsidR="00BE45B8" w:rsidRPr="009A4EA3" w:rsidRDefault="00BE45B8" w:rsidP="008751B5">
            <w:pPr>
              <w:jc w:val="right"/>
            </w:pPr>
          </w:p>
        </w:tc>
      </w:tr>
      <w:tr w:rsidR="00BE45B8" w:rsidRPr="00F8567C" w14:paraId="7D165F98" w14:textId="77777777" w:rsidTr="008751B5">
        <w:trPr>
          <w:tblHeader/>
        </w:trPr>
        <w:tc>
          <w:tcPr>
            <w:tcW w:w="4882" w:type="dxa"/>
            <w:shd w:val="clear" w:color="auto" w:fill="F2F2F2" w:themeFill="background1" w:themeFillShade="F2"/>
          </w:tcPr>
          <w:p w14:paraId="055AD8B2" w14:textId="77777777" w:rsidR="00BE45B8" w:rsidRPr="00F8567C" w:rsidRDefault="00BE45B8" w:rsidP="008751B5">
            <w:pPr>
              <w:rPr>
                <w:b/>
                <w:bCs/>
              </w:rPr>
            </w:pPr>
            <w:r w:rsidRPr="00F8567C">
              <w:rPr>
                <w:b/>
                <w:bCs/>
              </w:rPr>
              <w:t>Celkem</w:t>
            </w:r>
            <w:r w:rsidRPr="00F8567C">
              <w:rPr>
                <w:rStyle w:val="Znakapoznpodarou"/>
                <w:b/>
                <w:bCs/>
              </w:rPr>
              <w:footnoteReference w:id="5"/>
            </w:r>
          </w:p>
        </w:tc>
        <w:tc>
          <w:tcPr>
            <w:tcW w:w="2090" w:type="dxa"/>
            <w:shd w:val="clear" w:color="auto" w:fill="auto"/>
          </w:tcPr>
          <w:p w14:paraId="0937DD50" w14:textId="77777777" w:rsidR="00BE45B8" w:rsidRPr="00F8567C" w:rsidRDefault="00BE45B8" w:rsidP="008751B5">
            <w:pPr>
              <w:jc w:val="right"/>
              <w:rPr>
                <w:b/>
                <w:bCs/>
              </w:rPr>
            </w:pPr>
          </w:p>
        </w:tc>
        <w:tc>
          <w:tcPr>
            <w:tcW w:w="2090" w:type="dxa"/>
            <w:shd w:val="clear" w:color="auto" w:fill="auto"/>
          </w:tcPr>
          <w:p w14:paraId="3F3205D4" w14:textId="77777777" w:rsidR="00BE45B8" w:rsidRPr="00F8567C" w:rsidRDefault="00BE45B8" w:rsidP="008751B5">
            <w:pPr>
              <w:jc w:val="right"/>
              <w:rPr>
                <w:b/>
                <w:bCs/>
              </w:rPr>
            </w:pPr>
          </w:p>
        </w:tc>
      </w:tr>
    </w:tbl>
    <w:p w14:paraId="1E6C4A77" w14:textId="77777777" w:rsidR="00BE45B8" w:rsidRDefault="00BE45B8" w:rsidP="003645DA">
      <w:pPr>
        <w:rPr>
          <w:rStyle w:val="Siln"/>
          <w:b w:val="0"/>
        </w:rPr>
      </w:pPr>
    </w:p>
    <w:p w14:paraId="310E86D5" w14:textId="6FFBD15A" w:rsidR="00AE4AD0" w:rsidRDefault="00AE4AD0" w:rsidP="00047D24">
      <w:pPr>
        <w:pStyle w:val="Nadpis2"/>
      </w:pPr>
      <w:r>
        <w:t xml:space="preserve">Návaznost na </w:t>
      </w:r>
      <w:r w:rsidR="005720F5">
        <w:t>schválené koncepce</w:t>
      </w:r>
      <w:r w:rsidR="001201A2">
        <w:t xml:space="preserve"> a programy</w:t>
      </w:r>
    </w:p>
    <w:tbl>
      <w:tblPr>
        <w:tblStyle w:val="Mkatabulky"/>
        <w:tblW w:w="5000" w:type="pct"/>
        <w:tblLook w:val="04A0" w:firstRow="1" w:lastRow="0" w:firstColumn="1" w:lastColumn="0" w:noHBand="0" w:noVBand="1"/>
      </w:tblPr>
      <w:tblGrid>
        <w:gridCol w:w="9062"/>
      </w:tblGrid>
      <w:tr w:rsidR="00562114" w:rsidRPr="000F5938" w14:paraId="2EC6AD44" w14:textId="77777777" w:rsidTr="00585F07">
        <w:trPr>
          <w:tblHeader/>
        </w:trPr>
        <w:tc>
          <w:tcPr>
            <w:tcW w:w="5000" w:type="pct"/>
            <w:shd w:val="clear" w:color="auto" w:fill="BDD6EE" w:themeFill="accent1" w:themeFillTint="66"/>
          </w:tcPr>
          <w:p w14:paraId="32BA43C5" w14:textId="1C9E2188" w:rsidR="00562114" w:rsidRPr="000F5938" w:rsidRDefault="00A220DC" w:rsidP="00585F07">
            <w:pPr>
              <w:rPr>
                <w:b/>
              </w:rPr>
            </w:pPr>
            <w:r w:rsidRPr="00A220DC">
              <w:rPr>
                <w:b/>
              </w:rPr>
              <w:t>Návaznost na schválené koncepce a programy</w:t>
            </w:r>
          </w:p>
        </w:tc>
      </w:tr>
      <w:tr w:rsidR="00562114" w:rsidRPr="000F5938" w14:paraId="23E9D2E5" w14:textId="77777777" w:rsidTr="00585F07">
        <w:trPr>
          <w:tblHeader/>
        </w:trPr>
        <w:tc>
          <w:tcPr>
            <w:tcW w:w="5000" w:type="pct"/>
          </w:tcPr>
          <w:p w14:paraId="10A2709D" w14:textId="77777777" w:rsidR="0023689D" w:rsidRDefault="0023689D" w:rsidP="00A220DC">
            <w:r>
              <w:t>Projekt reaguje na dokument MD „Koncepce nákladní dopravy pro období 2017 – 2023 s výhledem do roku 2030“. Zaměřuje se při tom zejména na problémový okruh „vyčerpaná kapacita pro nákladní vlaky na hlavních tratích“.</w:t>
            </w:r>
          </w:p>
          <w:p w14:paraId="568E15DE" w14:textId="35D938D7" w:rsidR="00562114" w:rsidRPr="0016238C" w:rsidRDefault="0023689D" w:rsidP="0016238C">
            <w:r w:rsidRPr="0023689D">
              <w:t>Tišická spojka, společně s realizací souvisejícího záměru „Rekonstrukce a elektrizace trati Kralupy nad Vltavou (mimo) – Neratovice (mimo)“ a dalších navazujících záměrů umožní vytvořit alternativní objízdnou trasu pro tranzitní nákladní dopravu mimo pražský železniční uzel ve směru I. tranzitního železničního koridoru.</w:t>
            </w:r>
          </w:p>
        </w:tc>
      </w:tr>
    </w:tbl>
    <w:p w14:paraId="368EE014" w14:textId="77777777" w:rsidR="0071412F" w:rsidRPr="00894B96" w:rsidRDefault="0071412F" w:rsidP="0071412F"/>
    <w:p w14:paraId="50907E05" w14:textId="195931EE" w:rsidR="00955906" w:rsidRDefault="001A132B" w:rsidP="001A132B">
      <w:pPr>
        <w:pStyle w:val="Nadpis2"/>
      </w:pPr>
      <w:r>
        <w:lastRenderedPageBreak/>
        <w:t>Soulad s územně plánovací dokumentací</w:t>
      </w:r>
    </w:p>
    <w:tbl>
      <w:tblPr>
        <w:tblStyle w:val="Mkatabulky"/>
        <w:tblW w:w="5000" w:type="pct"/>
        <w:tblLook w:val="04A0" w:firstRow="1" w:lastRow="0" w:firstColumn="1" w:lastColumn="0" w:noHBand="0" w:noVBand="1"/>
      </w:tblPr>
      <w:tblGrid>
        <w:gridCol w:w="9062"/>
      </w:tblGrid>
      <w:tr w:rsidR="00F55646" w:rsidRPr="000F5938" w14:paraId="639D2DED" w14:textId="77777777" w:rsidTr="00585F07">
        <w:trPr>
          <w:tblHeader/>
        </w:trPr>
        <w:tc>
          <w:tcPr>
            <w:tcW w:w="5000" w:type="pct"/>
            <w:shd w:val="clear" w:color="auto" w:fill="BDD6EE" w:themeFill="accent1" w:themeFillTint="66"/>
          </w:tcPr>
          <w:p w14:paraId="7A31CD48" w14:textId="00B2A419" w:rsidR="00F55646" w:rsidRPr="000F5938" w:rsidRDefault="00A6615B" w:rsidP="00585F07">
            <w:pPr>
              <w:rPr>
                <w:b/>
              </w:rPr>
            </w:pPr>
            <w:r w:rsidRPr="00A6615B">
              <w:rPr>
                <w:b/>
              </w:rPr>
              <w:t>Soulad s územně plánovací dokumentací</w:t>
            </w:r>
          </w:p>
        </w:tc>
      </w:tr>
      <w:tr w:rsidR="00F55646" w:rsidRPr="000F5938" w14:paraId="38B83C4C" w14:textId="77777777" w:rsidTr="00585F07">
        <w:trPr>
          <w:tblHeader/>
        </w:trPr>
        <w:tc>
          <w:tcPr>
            <w:tcW w:w="5000" w:type="pct"/>
          </w:tcPr>
          <w:p w14:paraId="0205EF41" w14:textId="0B04B1AE" w:rsidR="00A6615B" w:rsidRPr="008D20FD" w:rsidRDefault="008D20FD" w:rsidP="00585F07">
            <w:pPr>
              <w:spacing w:line="259" w:lineRule="auto"/>
            </w:pPr>
            <w:r>
              <w:t>Plánovaná železniční infrastruktura zatím není v územně plánovací dokumentaci zanesena.</w:t>
            </w:r>
          </w:p>
        </w:tc>
      </w:tr>
    </w:tbl>
    <w:p w14:paraId="50AF9D22" w14:textId="77777777" w:rsidR="0071412F" w:rsidRDefault="0071412F" w:rsidP="00955906"/>
    <w:p w14:paraId="07F026B4" w14:textId="2AF5F57C" w:rsidR="003645DA" w:rsidRDefault="003645DA" w:rsidP="009237B2">
      <w:pPr>
        <w:pStyle w:val="Nadpis1"/>
      </w:pPr>
      <w:r>
        <w:t>P</w:t>
      </w:r>
      <w:r w:rsidR="00A302FC">
        <w:t>opis stávajícího stavu a zdůvodnění</w:t>
      </w:r>
      <w:r w:rsidR="00684628">
        <w:t xml:space="preserve"> nezbytnosti realizace projektu</w:t>
      </w:r>
    </w:p>
    <w:p w14:paraId="6A28924A" w14:textId="4B0A2B60" w:rsidR="003645DA" w:rsidRDefault="008A219E" w:rsidP="009237B2">
      <w:pPr>
        <w:pStyle w:val="Nadpis2"/>
      </w:pPr>
      <w:r>
        <w:t>Popis</w:t>
      </w:r>
      <w:r w:rsidR="00416155">
        <w:t xml:space="preserve"> stávajícího stavu</w:t>
      </w:r>
    </w:p>
    <w:tbl>
      <w:tblPr>
        <w:tblStyle w:val="Mkatabulky"/>
        <w:tblW w:w="5000" w:type="pct"/>
        <w:tblLook w:val="04A0" w:firstRow="1" w:lastRow="0" w:firstColumn="1" w:lastColumn="0" w:noHBand="0" w:noVBand="1"/>
      </w:tblPr>
      <w:tblGrid>
        <w:gridCol w:w="9062"/>
      </w:tblGrid>
      <w:tr w:rsidR="00F55646" w:rsidRPr="000F5938" w14:paraId="5C55104E" w14:textId="77777777" w:rsidTr="00585F07">
        <w:trPr>
          <w:tblHeader/>
        </w:trPr>
        <w:tc>
          <w:tcPr>
            <w:tcW w:w="5000" w:type="pct"/>
            <w:shd w:val="clear" w:color="auto" w:fill="BDD6EE" w:themeFill="accent1" w:themeFillTint="66"/>
          </w:tcPr>
          <w:p w14:paraId="0EEE057C" w14:textId="37C7D3EB" w:rsidR="00F55646" w:rsidRPr="000F5938" w:rsidRDefault="00F55646" w:rsidP="00585F07">
            <w:pPr>
              <w:rPr>
                <w:b/>
              </w:rPr>
            </w:pPr>
            <w:r>
              <w:rPr>
                <w:b/>
              </w:rPr>
              <w:t xml:space="preserve">Popis </w:t>
            </w:r>
            <w:r w:rsidR="00F608F9">
              <w:rPr>
                <w:b/>
              </w:rPr>
              <w:t>stávajícího stavu</w:t>
            </w:r>
          </w:p>
        </w:tc>
      </w:tr>
      <w:tr w:rsidR="00F55646" w:rsidRPr="000F5938" w14:paraId="5B8EE247" w14:textId="77777777" w:rsidTr="00585F07">
        <w:trPr>
          <w:tblHeader/>
        </w:trPr>
        <w:tc>
          <w:tcPr>
            <w:tcW w:w="5000" w:type="pct"/>
          </w:tcPr>
          <w:p w14:paraId="439BE9F1" w14:textId="77777777" w:rsidR="00F608F9" w:rsidRDefault="000022AD" w:rsidP="000022AD">
            <w:r w:rsidRPr="000022AD">
              <w:t>Není pro tento projekt relevantní. Jedná se o záměr vybudování nové kolejové spojky.</w:t>
            </w:r>
          </w:p>
          <w:p w14:paraId="55A2A488" w14:textId="62A5EA04" w:rsidR="00E446A9" w:rsidRPr="000022AD" w:rsidRDefault="00E446A9" w:rsidP="000022AD">
            <w:r>
              <w:t>Na základě rozhodnutí Cent</w:t>
            </w:r>
            <w:r w:rsidR="00BF5826">
              <w:t>r</w:t>
            </w:r>
            <w:r>
              <w:t>ální komise</w:t>
            </w:r>
            <w:r w:rsidR="00BF5826">
              <w:t xml:space="preserve"> MD ze dne 1. 4. 2025 bude projekt v další přípravě koordinován se záměrem </w:t>
            </w:r>
            <w:r w:rsidR="00BF5826">
              <w:rPr>
                <w:bCs/>
              </w:rPr>
              <w:t>Modernizace trati Praha-Čakovice (mimo) – Neratovice – Všetaty (mimo), předpokládá se společná realizace obou akcí.</w:t>
            </w:r>
          </w:p>
        </w:tc>
      </w:tr>
    </w:tbl>
    <w:p w14:paraId="7BDEDD71" w14:textId="77777777" w:rsidR="00507EEA" w:rsidRDefault="00507EEA" w:rsidP="00197ABA"/>
    <w:p w14:paraId="53AB837C" w14:textId="700EDA58" w:rsidR="00AA1C0F" w:rsidRDefault="00507EEA" w:rsidP="00AA1C0F">
      <w:pPr>
        <w:pStyle w:val="Nadpis2"/>
      </w:pPr>
      <w:r>
        <w:t>Z</w:t>
      </w:r>
      <w:r w:rsidR="00197ABA" w:rsidRPr="00197ABA">
        <w:t>důvodnění nezbytnosti</w:t>
      </w:r>
    </w:p>
    <w:tbl>
      <w:tblPr>
        <w:tblStyle w:val="Mkatabulky"/>
        <w:tblW w:w="5000" w:type="pct"/>
        <w:tblLook w:val="04A0" w:firstRow="1" w:lastRow="0" w:firstColumn="1" w:lastColumn="0" w:noHBand="0" w:noVBand="1"/>
      </w:tblPr>
      <w:tblGrid>
        <w:gridCol w:w="9062"/>
      </w:tblGrid>
      <w:tr w:rsidR="00F55646" w:rsidRPr="000F5938" w14:paraId="6CD4D891" w14:textId="77777777" w:rsidTr="00585F07">
        <w:trPr>
          <w:tblHeader/>
        </w:trPr>
        <w:tc>
          <w:tcPr>
            <w:tcW w:w="5000" w:type="pct"/>
            <w:shd w:val="clear" w:color="auto" w:fill="BDD6EE" w:themeFill="accent1" w:themeFillTint="66"/>
          </w:tcPr>
          <w:p w14:paraId="138B94B6" w14:textId="48D5E47D" w:rsidR="00F55646" w:rsidRPr="000F5938" w:rsidRDefault="005579E5" w:rsidP="00585F07">
            <w:pPr>
              <w:rPr>
                <w:b/>
              </w:rPr>
            </w:pPr>
            <w:r>
              <w:rPr>
                <w:b/>
              </w:rPr>
              <w:t>Zdůvodnění nezbytnosti</w:t>
            </w:r>
          </w:p>
        </w:tc>
      </w:tr>
      <w:tr w:rsidR="00F55646" w:rsidRPr="000F5938" w14:paraId="3212384F" w14:textId="77777777" w:rsidTr="00585F07">
        <w:trPr>
          <w:tblHeader/>
        </w:trPr>
        <w:tc>
          <w:tcPr>
            <w:tcW w:w="5000" w:type="pct"/>
          </w:tcPr>
          <w:p w14:paraId="58438A01" w14:textId="5E59CB4D" w:rsidR="005579E5" w:rsidRPr="007555E1" w:rsidRDefault="007555E1" w:rsidP="005579E5">
            <w:pPr>
              <w:rPr>
                <w:bCs/>
              </w:rPr>
            </w:pPr>
            <w:bookmarkStart w:id="2" w:name="_Hlk119075750"/>
            <w:r>
              <w:t>Realizace záměru zajistí vytvoření</w:t>
            </w:r>
            <w:r w:rsidRPr="007555E1">
              <w:t xml:space="preserve"> </w:t>
            </w:r>
            <w:proofErr w:type="spellStart"/>
            <w:r w:rsidRPr="007555E1">
              <w:t>bezúvraťového</w:t>
            </w:r>
            <w:proofErr w:type="spellEnd"/>
            <w:r w:rsidRPr="007555E1">
              <w:t xml:space="preserve"> spojení tratí 070 a 072 v úseku Neratovice – Dřísy.</w:t>
            </w:r>
            <w:r w:rsidR="0016238C">
              <w:t xml:space="preserve"> Umožní tak provážení nákladních vlaků tímto úsekem bez nutnosti </w:t>
            </w:r>
            <w:proofErr w:type="spellStart"/>
            <w:r w:rsidR="0016238C">
              <w:t>úvraťování</w:t>
            </w:r>
            <w:proofErr w:type="spellEnd"/>
            <w:r w:rsidR="0016238C">
              <w:t xml:space="preserve"> v </w:t>
            </w:r>
            <w:proofErr w:type="spellStart"/>
            <w:r w:rsidR="0016238C">
              <w:t>žst</w:t>
            </w:r>
            <w:proofErr w:type="spellEnd"/>
            <w:r w:rsidR="0016238C">
              <w:t>. Všetaty a podstatně tak přispěje ke zkrácení cestovní doby těchto vlaků.</w:t>
            </w:r>
            <w:bookmarkEnd w:id="2"/>
          </w:p>
        </w:tc>
      </w:tr>
    </w:tbl>
    <w:p w14:paraId="2F92D52D" w14:textId="77777777" w:rsidR="009A2684" w:rsidRPr="00B41703" w:rsidRDefault="009A2684" w:rsidP="00B41703"/>
    <w:p w14:paraId="6891736B" w14:textId="7E628A32" w:rsidR="00A21D80" w:rsidRDefault="0006683C" w:rsidP="00A21D80">
      <w:pPr>
        <w:pStyle w:val="Nadpis2"/>
      </w:pPr>
      <w:r>
        <w:t xml:space="preserve">Cíle </w:t>
      </w:r>
      <w:r w:rsidR="002F7C0D">
        <w:t xml:space="preserve">a indikátory </w:t>
      </w:r>
      <w:r w:rsidR="009F7123">
        <w:t>projektu</w:t>
      </w:r>
    </w:p>
    <w:tbl>
      <w:tblPr>
        <w:tblStyle w:val="Mkatabulky"/>
        <w:tblW w:w="5000" w:type="pct"/>
        <w:tblLook w:val="04A0" w:firstRow="1" w:lastRow="0" w:firstColumn="1" w:lastColumn="0" w:noHBand="0" w:noVBand="1"/>
      </w:tblPr>
      <w:tblGrid>
        <w:gridCol w:w="9062"/>
      </w:tblGrid>
      <w:tr w:rsidR="00A21D80" w:rsidRPr="000F5938" w14:paraId="0A435AA7" w14:textId="77777777" w:rsidTr="4FCD80D3">
        <w:trPr>
          <w:tblHeader/>
        </w:trPr>
        <w:tc>
          <w:tcPr>
            <w:tcW w:w="5000" w:type="pct"/>
            <w:shd w:val="clear" w:color="auto" w:fill="BDD6EE" w:themeFill="accent1" w:themeFillTint="66"/>
          </w:tcPr>
          <w:p w14:paraId="2F05BD7E" w14:textId="0EF586E4" w:rsidR="00A21D80" w:rsidRPr="000F5938" w:rsidRDefault="004F3DC7" w:rsidP="64033749">
            <w:pPr>
              <w:rPr>
                <w:b/>
                <w:bCs/>
              </w:rPr>
            </w:pPr>
            <w:r w:rsidRPr="0628D231">
              <w:rPr>
                <w:b/>
                <w:bCs/>
              </w:rPr>
              <w:t xml:space="preserve">Stanovení </w:t>
            </w:r>
            <w:r w:rsidR="00576962" w:rsidRPr="0628D231">
              <w:rPr>
                <w:b/>
                <w:bCs/>
              </w:rPr>
              <w:t>cílů</w:t>
            </w:r>
            <w:r w:rsidR="009C7982" w:rsidRPr="0628D231">
              <w:rPr>
                <w:b/>
                <w:bCs/>
              </w:rPr>
              <w:t xml:space="preserve"> a </w:t>
            </w:r>
            <w:r w:rsidR="1780FDA3" w:rsidRPr="0628D231">
              <w:rPr>
                <w:b/>
                <w:bCs/>
              </w:rPr>
              <w:t xml:space="preserve">měřitelných </w:t>
            </w:r>
            <w:r w:rsidR="009C7982" w:rsidRPr="0628D231">
              <w:rPr>
                <w:b/>
                <w:bCs/>
              </w:rPr>
              <w:t>indikátorů projektu</w:t>
            </w:r>
          </w:p>
        </w:tc>
      </w:tr>
      <w:tr w:rsidR="00A21D80" w:rsidRPr="000F5938" w14:paraId="42DA2FB3" w14:textId="77777777" w:rsidTr="4FCD80D3">
        <w:trPr>
          <w:tblHeader/>
        </w:trPr>
        <w:tc>
          <w:tcPr>
            <w:tcW w:w="5000" w:type="pct"/>
          </w:tcPr>
          <w:p w14:paraId="6B231E78" w14:textId="241CAC80" w:rsidR="00A712BF" w:rsidRDefault="008A438F" w:rsidP="00183828">
            <w:r>
              <w:t xml:space="preserve">Projekt byl </w:t>
            </w:r>
            <w:r w:rsidR="00183828">
              <w:t>zařazen</w:t>
            </w:r>
            <w:r>
              <w:t xml:space="preserve"> do přípravy před schválením nyní platných </w:t>
            </w:r>
            <w:r w:rsidR="00183828">
              <w:t>„</w:t>
            </w:r>
            <w:r>
              <w:t>Pravidel přípravy a realizace akcí dopravní infrastruktury financovaných Státním fondem dopravní infrastruktury</w:t>
            </w:r>
            <w:r w:rsidR="00183828">
              <w:t>“</w:t>
            </w:r>
            <w:r>
              <w:t>.</w:t>
            </w:r>
            <w:r w:rsidR="00183828">
              <w:t xml:space="preserve"> Cíl a indikátory projektu nebyly stanoveny při zařazení akce do přípravy, ale až v rámci zpracování záměru projektu.</w:t>
            </w:r>
          </w:p>
          <w:p w14:paraId="5A0168EA" w14:textId="77777777" w:rsidR="00183828" w:rsidRPr="00794277" w:rsidRDefault="00794277" w:rsidP="004A6591">
            <w:pPr>
              <w:rPr>
                <w:u w:val="single"/>
              </w:rPr>
            </w:pPr>
            <w:r w:rsidRPr="00794277">
              <w:rPr>
                <w:u w:val="single"/>
              </w:rPr>
              <w:t>Cíl projektu:</w:t>
            </w:r>
          </w:p>
          <w:p w14:paraId="17AC1646" w14:textId="77777777" w:rsidR="00794277" w:rsidRDefault="00794277" w:rsidP="004A6591">
            <w:r>
              <w:t>Zajištění potřebných parametrů infrastruktury pro efektivní provoz nákladní dopravy</w:t>
            </w:r>
          </w:p>
          <w:p w14:paraId="411D824D" w14:textId="77777777" w:rsidR="00794277" w:rsidRPr="00D05570" w:rsidRDefault="00794277" w:rsidP="004A6591">
            <w:pPr>
              <w:rPr>
                <w:u w:val="single"/>
              </w:rPr>
            </w:pPr>
            <w:r w:rsidRPr="00D05570">
              <w:rPr>
                <w:u w:val="single"/>
              </w:rPr>
              <w:t>Indikátory projektu:</w:t>
            </w:r>
          </w:p>
          <w:p w14:paraId="40AEB16B" w14:textId="421FFBFC" w:rsidR="00794277" w:rsidRDefault="00794277" w:rsidP="004A6591">
            <w:r>
              <w:t xml:space="preserve">Délka </w:t>
            </w:r>
            <w:r w:rsidR="00F6358E">
              <w:t>nové železniční tratě</w:t>
            </w:r>
            <w:r>
              <w:t xml:space="preserve"> </w:t>
            </w:r>
            <w:r w:rsidR="00F6358E">
              <w:t>–</w:t>
            </w:r>
            <w:r>
              <w:t xml:space="preserve"> </w:t>
            </w:r>
            <w:r w:rsidR="00F6358E">
              <w:t>1,4 km</w:t>
            </w:r>
          </w:p>
          <w:p w14:paraId="30FF6B29" w14:textId="77777777" w:rsidR="00F6358E" w:rsidRDefault="00F6358E" w:rsidP="00F6358E">
            <w:r>
              <w:t>Délka tratě vybavené ETCS – 1,4 km</w:t>
            </w:r>
          </w:p>
          <w:p w14:paraId="7D9471AF" w14:textId="2BAF06DC" w:rsidR="00F6358E" w:rsidRPr="008A438F" w:rsidRDefault="00F6358E" w:rsidP="004A6591">
            <w:r>
              <w:t>Dosažená traťová rychlost – 100 km/h</w:t>
            </w:r>
          </w:p>
        </w:tc>
      </w:tr>
    </w:tbl>
    <w:p w14:paraId="3697818C" w14:textId="77777777" w:rsidR="007201DD" w:rsidRDefault="007201DD" w:rsidP="007201DD"/>
    <w:p w14:paraId="30B1CAC0" w14:textId="25011BE2" w:rsidR="00AF6369" w:rsidRDefault="009A2684" w:rsidP="009A2684">
      <w:pPr>
        <w:pStyle w:val="Nadpis2"/>
      </w:pPr>
      <w:r>
        <w:t>Doplňující informace</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18"/>
        <w:gridCol w:w="7746"/>
      </w:tblGrid>
      <w:tr w:rsidR="00713B7D" w:rsidRPr="005E6070" w14:paraId="3C29C712" w14:textId="77777777" w:rsidTr="00585F07">
        <w:trPr>
          <w:trHeight w:val="20"/>
          <w:tblHeader/>
        </w:trPr>
        <w:tc>
          <w:tcPr>
            <w:tcW w:w="5000" w:type="pct"/>
            <w:gridSpan w:val="2"/>
            <w:shd w:val="clear" w:color="auto" w:fill="BDD6EE" w:themeFill="accent1" w:themeFillTint="66"/>
            <w:noWrap/>
            <w:hideMark/>
          </w:tcPr>
          <w:p w14:paraId="67442419" w14:textId="14E04FA9" w:rsidR="00713B7D" w:rsidRPr="005E6070" w:rsidRDefault="00713B7D" w:rsidP="00585F07">
            <w:pPr>
              <w:rPr>
                <w:b/>
              </w:rPr>
            </w:pPr>
            <w:r w:rsidRPr="00047D24">
              <w:rPr>
                <w:b/>
              </w:rPr>
              <w:t xml:space="preserve">Související </w:t>
            </w:r>
            <w:r w:rsidR="00BC13B7">
              <w:rPr>
                <w:b/>
              </w:rPr>
              <w:t>náklady a související a</w:t>
            </w:r>
            <w:r w:rsidR="0039515C">
              <w:rPr>
                <w:b/>
              </w:rPr>
              <w:t>kce</w:t>
            </w:r>
          </w:p>
        </w:tc>
      </w:tr>
      <w:tr w:rsidR="009A2684" w:rsidRPr="00BF5681" w14:paraId="27A352FA" w14:textId="77777777" w:rsidTr="009A2684">
        <w:trPr>
          <w:trHeight w:val="20"/>
        </w:trPr>
        <w:tc>
          <w:tcPr>
            <w:tcW w:w="5000" w:type="pct"/>
            <w:gridSpan w:val="2"/>
            <w:shd w:val="clear" w:color="auto" w:fill="F2F2F2" w:themeFill="background1" w:themeFillShade="F2"/>
          </w:tcPr>
          <w:p w14:paraId="4D49EA03" w14:textId="107FFEC6" w:rsidR="009A2684" w:rsidRPr="003F7B0D" w:rsidRDefault="009A2684" w:rsidP="00795846">
            <w:pPr>
              <w:pStyle w:val="Odstavecseseznamem"/>
              <w:numPr>
                <w:ilvl w:val="0"/>
                <w:numId w:val="32"/>
              </w:numPr>
            </w:pPr>
            <w:r w:rsidRPr="009A2684">
              <w:t xml:space="preserve">Byly v posledních 5 letech vynaloženy investiční/neinvestiční prostředky v úseku, části úseku, nebo stavebním objektu, který je předmětem </w:t>
            </w:r>
            <w:r w:rsidR="00272369">
              <w:t>tohoto záměru projektu</w:t>
            </w:r>
            <w:r w:rsidRPr="009A2684">
              <w:t xml:space="preserve"> (kromě běžné údržby)</w:t>
            </w:r>
            <w:r w:rsidR="001E1D5C">
              <w:t>?</w:t>
            </w:r>
          </w:p>
        </w:tc>
      </w:tr>
      <w:tr w:rsidR="00B000C3" w:rsidRPr="00BF5681" w14:paraId="1A4AA133" w14:textId="77777777" w:rsidTr="00B000C3">
        <w:trPr>
          <w:trHeight w:val="20"/>
        </w:trPr>
        <w:tc>
          <w:tcPr>
            <w:tcW w:w="727" w:type="pct"/>
            <w:shd w:val="clear" w:color="auto" w:fill="auto"/>
          </w:tcPr>
          <w:p w14:paraId="3FB30B26" w14:textId="2199027D" w:rsidR="00B000C3" w:rsidRPr="00B000C3" w:rsidRDefault="00BA5384" w:rsidP="00B000C3">
            <w:pPr>
              <w:rPr>
                <w:iCs/>
              </w:rPr>
            </w:pPr>
            <w:sdt>
              <w:sdtPr>
                <w:rPr>
                  <w:rFonts w:cstheme="minorHAnsi"/>
                </w:rPr>
                <w:id w:val="-1130855964"/>
                <w:placeholder>
                  <w:docPart w:val="2702D49CF9CF46E1AE16F91879EB123B"/>
                </w:placeholder>
                <w:comboBox>
                  <w:listItem w:displayText="Ano" w:value="Ano"/>
                  <w:listItem w:displayText="Ne" w:value="Ne"/>
                </w:comboBox>
              </w:sdtPr>
              <w:sdtEndPr/>
              <w:sdtContent>
                <w:r w:rsidR="008A438F">
                  <w:rPr>
                    <w:rFonts w:cstheme="minorHAnsi"/>
                  </w:rPr>
                  <w:t>Ne</w:t>
                </w:r>
              </w:sdtContent>
            </w:sdt>
          </w:p>
        </w:tc>
        <w:tc>
          <w:tcPr>
            <w:tcW w:w="4273" w:type="pct"/>
            <w:shd w:val="clear" w:color="auto" w:fill="auto"/>
          </w:tcPr>
          <w:p w14:paraId="52BF91D6" w14:textId="14349D77" w:rsidR="00B000C3" w:rsidRPr="008A438F" w:rsidRDefault="00B000C3" w:rsidP="00B000C3">
            <w:pPr>
              <w:rPr>
                <w:iCs/>
              </w:rPr>
            </w:pPr>
          </w:p>
        </w:tc>
      </w:tr>
      <w:tr w:rsidR="00B000C3" w:rsidRPr="00BF5681" w14:paraId="24D05090" w14:textId="77777777" w:rsidTr="001E1D5C">
        <w:trPr>
          <w:trHeight w:val="20"/>
        </w:trPr>
        <w:tc>
          <w:tcPr>
            <w:tcW w:w="5000" w:type="pct"/>
            <w:gridSpan w:val="2"/>
            <w:shd w:val="clear" w:color="auto" w:fill="F2F2F2" w:themeFill="background1" w:themeFillShade="F2"/>
          </w:tcPr>
          <w:p w14:paraId="0CAEB131" w14:textId="15FD6521" w:rsidR="00B000C3" w:rsidRPr="003F7B0D" w:rsidRDefault="00B000C3" w:rsidP="00B000C3">
            <w:pPr>
              <w:pStyle w:val="Odstavecseseznamem"/>
              <w:numPr>
                <w:ilvl w:val="0"/>
                <w:numId w:val="32"/>
              </w:numPr>
            </w:pPr>
            <w:r w:rsidRPr="001E1D5C">
              <w:lastRenderedPageBreak/>
              <w:t xml:space="preserve">Plánuje se </w:t>
            </w:r>
            <w:r>
              <w:t xml:space="preserve">v následujících 4 letech </w:t>
            </w:r>
            <w:r w:rsidRPr="001E1D5C">
              <w:t xml:space="preserve">vynaložení dalších investičních/neinvestičních prostředků v úseku, části úseku, nebo stavebním objektu, který je předmětem </w:t>
            </w:r>
            <w:r>
              <w:t xml:space="preserve">tohoto záměru projektu </w:t>
            </w:r>
            <w:r w:rsidRPr="009A2684">
              <w:t>(kromě běžné údržby)</w:t>
            </w:r>
            <w:r>
              <w:t>?</w:t>
            </w:r>
          </w:p>
        </w:tc>
      </w:tr>
      <w:tr w:rsidR="00666FEA" w:rsidRPr="00BF5681" w14:paraId="722AC5DF" w14:textId="77777777" w:rsidTr="00585F07">
        <w:trPr>
          <w:trHeight w:val="20"/>
        </w:trPr>
        <w:tc>
          <w:tcPr>
            <w:tcW w:w="727" w:type="pct"/>
            <w:shd w:val="clear" w:color="auto" w:fill="auto"/>
          </w:tcPr>
          <w:p w14:paraId="3EA1E1F7" w14:textId="577C2958" w:rsidR="00666FEA" w:rsidRPr="00B000C3" w:rsidRDefault="00BA5384" w:rsidP="00585F07">
            <w:pPr>
              <w:rPr>
                <w:iCs/>
              </w:rPr>
            </w:pPr>
            <w:sdt>
              <w:sdtPr>
                <w:rPr>
                  <w:rFonts w:cstheme="minorHAnsi"/>
                </w:rPr>
                <w:id w:val="74487220"/>
                <w:placeholder>
                  <w:docPart w:val="378990D007064F55A30BAC0792E1D18B"/>
                </w:placeholder>
                <w:comboBox>
                  <w:listItem w:displayText="Ano" w:value="Ano"/>
                  <w:listItem w:displayText="Ne" w:value="Ne"/>
                </w:comboBox>
              </w:sdtPr>
              <w:sdtEndPr/>
              <w:sdtContent>
                <w:r w:rsidR="008A438F">
                  <w:rPr>
                    <w:rFonts w:cstheme="minorHAnsi"/>
                  </w:rPr>
                  <w:t>Ne</w:t>
                </w:r>
              </w:sdtContent>
            </w:sdt>
          </w:p>
        </w:tc>
        <w:tc>
          <w:tcPr>
            <w:tcW w:w="4273" w:type="pct"/>
            <w:shd w:val="clear" w:color="auto" w:fill="auto"/>
          </w:tcPr>
          <w:p w14:paraId="636699E5" w14:textId="6E6390D2" w:rsidR="00666FEA" w:rsidRPr="008A438F" w:rsidRDefault="00666FEA" w:rsidP="00585F07">
            <w:pPr>
              <w:rPr>
                <w:iCs/>
              </w:rPr>
            </w:pPr>
          </w:p>
        </w:tc>
      </w:tr>
      <w:tr w:rsidR="00B000C3" w:rsidRPr="00BF5681" w14:paraId="0687955D" w14:textId="77777777" w:rsidTr="001E1D5C">
        <w:trPr>
          <w:trHeight w:val="20"/>
        </w:trPr>
        <w:tc>
          <w:tcPr>
            <w:tcW w:w="5000" w:type="pct"/>
            <w:gridSpan w:val="2"/>
            <w:shd w:val="clear" w:color="auto" w:fill="F2F2F2" w:themeFill="background1" w:themeFillShade="F2"/>
          </w:tcPr>
          <w:p w14:paraId="627D9344" w14:textId="70F55930" w:rsidR="00B000C3" w:rsidRPr="003F7B0D" w:rsidRDefault="00B000C3" w:rsidP="00B000C3">
            <w:pPr>
              <w:pStyle w:val="Odstavecseseznamem"/>
              <w:numPr>
                <w:ilvl w:val="0"/>
                <w:numId w:val="32"/>
              </w:numPr>
            </w:pPr>
            <w:r w:rsidRPr="001E1D5C">
              <w:t xml:space="preserve">Byl v minulosti vypracován jiný </w:t>
            </w:r>
            <w:r>
              <w:t>záměr projektu</w:t>
            </w:r>
            <w:r w:rsidRPr="001E1D5C">
              <w:t xml:space="preserve">, týkající se úseku, části úseku, nebo stavebního objektu, který je předmětem </w:t>
            </w:r>
            <w:r>
              <w:t>tohoto záměru projektu?</w:t>
            </w:r>
          </w:p>
        </w:tc>
      </w:tr>
      <w:tr w:rsidR="00666FEA" w:rsidRPr="00BF5681" w14:paraId="4D84554F" w14:textId="77777777" w:rsidTr="00585F07">
        <w:trPr>
          <w:trHeight w:val="20"/>
        </w:trPr>
        <w:tc>
          <w:tcPr>
            <w:tcW w:w="727" w:type="pct"/>
            <w:shd w:val="clear" w:color="auto" w:fill="auto"/>
          </w:tcPr>
          <w:p w14:paraId="7D2363FE" w14:textId="1D7AEEA1" w:rsidR="00666FEA" w:rsidRPr="00B000C3" w:rsidRDefault="00BA5384" w:rsidP="00585F07">
            <w:pPr>
              <w:rPr>
                <w:iCs/>
              </w:rPr>
            </w:pPr>
            <w:sdt>
              <w:sdtPr>
                <w:rPr>
                  <w:rFonts w:cstheme="minorHAnsi"/>
                </w:rPr>
                <w:id w:val="-629928257"/>
                <w:placeholder>
                  <w:docPart w:val="B4352C5DBF6A4C1E87481D0411D01F51"/>
                </w:placeholder>
                <w:comboBox>
                  <w:listItem w:displayText="Ano" w:value="Ano"/>
                  <w:listItem w:displayText="Ne" w:value="Ne"/>
                </w:comboBox>
              </w:sdtPr>
              <w:sdtEndPr/>
              <w:sdtContent>
                <w:r w:rsidR="00430242">
                  <w:rPr>
                    <w:rFonts w:cstheme="minorHAnsi"/>
                  </w:rPr>
                  <w:t>Ne</w:t>
                </w:r>
              </w:sdtContent>
            </w:sdt>
          </w:p>
        </w:tc>
        <w:tc>
          <w:tcPr>
            <w:tcW w:w="4273" w:type="pct"/>
            <w:shd w:val="clear" w:color="auto" w:fill="auto"/>
          </w:tcPr>
          <w:p w14:paraId="51BFFE1C" w14:textId="2540C642" w:rsidR="00666FEA" w:rsidRPr="00430242" w:rsidRDefault="00666FEA" w:rsidP="00585F07">
            <w:pPr>
              <w:rPr>
                <w:iCs/>
              </w:rPr>
            </w:pPr>
          </w:p>
        </w:tc>
      </w:tr>
    </w:tbl>
    <w:p w14:paraId="4937E5BE" w14:textId="77777777" w:rsidR="002C55A0" w:rsidRDefault="002C55A0" w:rsidP="003645DA"/>
    <w:p w14:paraId="78C9B147" w14:textId="2A46B1E2" w:rsidR="003645DA" w:rsidRDefault="00183B07" w:rsidP="009237B2">
      <w:pPr>
        <w:pStyle w:val="Nadpis1"/>
      </w:pPr>
      <w:r>
        <w:t>Požadavky na řešení</w:t>
      </w:r>
      <w:r w:rsidR="00C52013">
        <w:t xml:space="preserve"> projektu</w:t>
      </w:r>
    </w:p>
    <w:p w14:paraId="275CE7DF" w14:textId="6A73FE54" w:rsidR="00183B07" w:rsidRDefault="00183B07" w:rsidP="00C52013">
      <w:pPr>
        <w:pStyle w:val="Nadpis2"/>
      </w:pPr>
      <w:r>
        <w:t>Technické řešení projektu</w:t>
      </w:r>
    </w:p>
    <w:tbl>
      <w:tblPr>
        <w:tblStyle w:val="Mkatabulky"/>
        <w:tblW w:w="5000" w:type="pct"/>
        <w:tblLook w:val="04A0" w:firstRow="1" w:lastRow="0" w:firstColumn="1" w:lastColumn="0" w:noHBand="0" w:noVBand="1"/>
      </w:tblPr>
      <w:tblGrid>
        <w:gridCol w:w="9062"/>
      </w:tblGrid>
      <w:tr w:rsidR="00F55646" w:rsidRPr="000F5938" w14:paraId="2541D173" w14:textId="77777777" w:rsidTr="00585F07">
        <w:trPr>
          <w:tblHeader/>
        </w:trPr>
        <w:tc>
          <w:tcPr>
            <w:tcW w:w="5000" w:type="pct"/>
            <w:shd w:val="clear" w:color="auto" w:fill="BDD6EE" w:themeFill="accent1" w:themeFillTint="66"/>
          </w:tcPr>
          <w:p w14:paraId="0006F06A" w14:textId="4ED8FD63" w:rsidR="00F55646" w:rsidRPr="000F5938" w:rsidRDefault="00F55646" w:rsidP="00585F07">
            <w:pPr>
              <w:rPr>
                <w:b/>
              </w:rPr>
            </w:pPr>
            <w:r>
              <w:rPr>
                <w:b/>
              </w:rPr>
              <w:t>P</w:t>
            </w:r>
            <w:r w:rsidR="00923203">
              <w:rPr>
                <w:b/>
              </w:rPr>
              <w:t>ožadavky na technické řešení</w:t>
            </w:r>
          </w:p>
        </w:tc>
      </w:tr>
      <w:tr w:rsidR="00F55646" w:rsidRPr="000F5938" w14:paraId="6C7E1101" w14:textId="77777777" w:rsidTr="00585F07">
        <w:trPr>
          <w:tblHeader/>
        </w:trPr>
        <w:tc>
          <w:tcPr>
            <w:tcW w:w="5000" w:type="pct"/>
          </w:tcPr>
          <w:p w14:paraId="477F49C1" w14:textId="69C552AC" w:rsidR="00BC4983" w:rsidRDefault="00BC4983" w:rsidP="00BC4983">
            <w:pPr>
              <w:rPr>
                <w:iCs/>
              </w:rPr>
            </w:pPr>
            <w:r w:rsidRPr="00BC4983">
              <w:rPr>
                <w:iCs/>
              </w:rPr>
              <w:t>V novostavb</w:t>
            </w:r>
            <w:r>
              <w:rPr>
                <w:iCs/>
              </w:rPr>
              <w:t>ě</w:t>
            </w:r>
            <w:r w:rsidRPr="00BC4983">
              <w:rPr>
                <w:iCs/>
              </w:rPr>
              <w:t xml:space="preserve"> Tišické spojky ve směru Neratovice – Dřísy je navržena sestava železničního svršku s</w:t>
            </w:r>
            <w:r>
              <w:rPr>
                <w:iCs/>
              </w:rPr>
              <w:t> </w:t>
            </w:r>
            <w:r w:rsidRPr="00BC4983">
              <w:rPr>
                <w:iCs/>
              </w:rPr>
              <w:t xml:space="preserve">kolejnicemi tvaru 49 E1 na betonových pražcích s pružným </w:t>
            </w:r>
            <w:proofErr w:type="spellStart"/>
            <w:r w:rsidRPr="00BC4983">
              <w:rPr>
                <w:iCs/>
              </w:rPr>
              <w:t>bezpodkladnicovým</w:t>
            </w:r>
            <w:proofErr w:type="spellEnd"/>
            <w:r w:rsidRPr="00BC4983">
              <w:rPr>
                <w:iCs/>
              </w:rPr>
              <w:t xml:space="preserve"> upevněním.</w:t>
            </w:r>
            <w:r w:rsidRPr="00BC4983">
              <w:rPr>
                <w:sz w:val="18"/>
                <w:szCs w:val="18"/>
              </w:rPr>
              <w:t xml:space="preserve"> </w:t>
            </w:r>
            <w:r w:rsidRPr="00BC4983">
              <w:rPr>
                <w:iCs/>
              </w:rPr>
              <w:t>S</w:t>
            </w:r>
            <w:r>
              <w:rPr>
                <w:iCs/>
              </w:rPr>
              <w:t> </w:t>
            </w:r>
            <w:r w:rsidRPr="00BC4983">
              <w:rPr>
                <w:iCs/>
              </w:rPr>
              <w:t>ohledem na použití svršku tvaru 49 E1 je využití rychlostního profilu pro nedostatek převýšení 150</w:t>
            </w:r>
            <w:r w:rsidR="00311031">
              <w:rPr>
                <w:iCs/>
              </w:rPr>
              <w:t> </w:t>
            </w:r>
            <w:r w:rsidRPr="00BC4983">
              <w:rPr>
                <w:iCs/>
              </w:rPr>
              <w:t xml:space="preserve">mm omezeno pouze pro vozidla s omezenými silovými účinky na trať (maximální hmotnost na nápravu 18 t), pro ostatní vozidla platí </w:t>
            </w:r>
            <w:proofErr w:type="spellStart"/>
            <w:r w:rsidRPr="00BC4983">
              <w:rPr>
                <w:iCs/>
              </w:rPr>
              <w:t>Imax</w:t>
            </w:r>
            <w:proofErr w:type="spellEnd"/>
            <w:r w:rsidRPr="00BC4983">
              <w:rPr>
                <w:iCs/>
              </w:rPr>
              <w:t xml:space="preserve"> = 130 mm.</w:t>
            </w:r>
          </w:p>
          <w:p w14:paraId="3AF839B5" w14:textId="5B7B5DC6" w:rsidR="00311031" w:rsidRDefault="00311031" w:rsidP="00BC4983">
            <w:pPr>
              <w:rPr>
                <w:bCs/>
              </w:rPr>
            </w:pPr>
            <w:r>
              <w:rPr>
                <w:iCs/>
              </w:rPr>
              <w:t xml:space="preserve">Rekonstrukce zastávky a přejezdu v Tišicích bude předmětem </w:t>
            </w:r>
            <w:r>
              <w:rPr>
                <w:bCs/>
              </w:rPr>
              <w:t>souvisejícího záměru Modernizace trati Praha-Čakovice (mimo) – Neratovice – Všetaty (mimo).</w:t>
            </w:r>
          </w:p>
          <w:p w14:paraId="16ED8A10" w14:textId="5E09D278" w:rsidR="00311031" w:rsidRDefault="00311031" w:rsidP="00BC4983">
            <w:pPr>
              <w:rPr>
                <w:iCs/>
              </w:rPr>
            </w:pPr>
            <w:r>
              <w:rPr>
                <w:iCs/>
              </w:rPr>
              <w:t xml:space="preserve">Navržen je most </w:t>
            </w:r>
            <w:r w:rsidRPr="00311031">
              <w:rPr>
                <w:iCs/>
              </w:rPr>
              <w:t>přes silnici III/24413 v km 1,036</w:t>
            </w:r>
            <w:r>
              <w:rPr>
                <w:iCs/>
              </w:rPr>
              <w:t xml:space="preserve"> a propustek Tišického potoka v km 0,550.</w:t>
            </w:r>
            <w:r w:rsidR="00955FA7">
              <w:rPr>
                <w:iCs/>
              </w:rPr>
              <w:t xml:space="preserve"> Tunely</w:t>
            </w:r>
            <w:r w:rsidR="009B55D3">
              <w:rPr>
                <w:iCs/>
              </w:rPr>
              <w:t xml:space="preserve"> ani</w:t>
            </w:r>
            <w:r w:rsidR="00955FA7">
              <w:rPr>
                <w:iCs/>
              </w:rPr>
              <w:t xml:space="preserve"> opěrné zdi</w:t>
            </w:r>
            <w:r w:rsidR="009B55D3">
              <w:rPr>
                <w:iCs/>
              </w:rPr>
              <w:t xml:space="preserve"> </w:t>
            </w:r>
            <w:r w:rsidR="00955FA7">
              <w:rPr>
                <w:iCs/>
              </w:rPr>
              <w:t>navrženy nejsou.</w:t>
            </w:r>
          </w:p>
          <w:p w14:paraId="3781909C" w14:textId="534CEF51" w:rsidR="000E5929" w:rsidRDefault="000E5929" w:rsidP="000E5929">
            <w:pPr>
              <w:rPr>
                <w:iCs/>
              </w:rPr>
            </w:pPr>
            <w:r w:rsidRPr="000E5929">
              <w:rPr>
                <w:iCs/>
              </w:rPr>
              <w:t xml:space="preserve">Napájení řešené trati je navrženo z nové TNS Neratovice v km cca 16,5, která je součástí souvisejícího záměru Rekonstrukce a elektrizace trati Kralupy nad Vltavou (mimo) – Neratovice (mimo). Napájení je navrženo systémem AC 25 </w:t>
            </w:r>
            <w:proofErr w:type="spellStart"/>
            <w:r w:rsidRPr="000E5929">
              <w:rPr>
                <w:iCs/>
              </w:rPr>
              <w:t>kV</w:t>
            </w:r>
            <w:proofErr w:type="spellEnd"/>
            <w:r w:rsidRPr="000E5929">
              <w:rPr>
                <w:iCs/>
              </w:rPr>
              <w:t xml:space="preserve"> 50 Hz, styk soustav je navržen cca km 17,0 (před </w:t>
            </w:r>
            <w:proofErr w:type="spellStart"/>
            <w:r w:rsidRPr="000E5929">
              <w:rPr>
                <w:iCs/>
              </w:rPr>
              <w:t>žst</w:t>
            </w:r>
            <w:proofErr w:type="spellEnd"/>
            <w:r w:rsidRPr="000E5929">
              <w:rPr>
                <w:iCs/>
              </w:rPr>
              <w:t xml:space="preserve">. Neratovice). Místo styku soustav bylo zvoleno pro zamezení nebezpečných elektromagnetických vlivů elektrizované trati na stávající zařízení </w:t>
            </w:r>
            <w:proofErr w:type="spellStart"/>
            <w:r w:rsidRPr="000E5929">
              <w:rPr>
                <w:iCs/>
              </w:rPr>
              <w:t>žst</w:t>
            </w:r>
            <w:proofErr w:type="spellEnd"/>
            <w:r w:rsidRPr="000E5929">
              <w:rPr>
                <w:iCs/>
              </w:rPr>
              <w:t>. Všetaty.</w:t>
            </w:r>
            <w:r w:rsidRPr="000E5929">
              <w:t xml:space="preserve"> T</w:t>
            </w:r>
            <w:r w:rsidRPr="000E5929">
              <w:rPr>
                <w:iCs/>
              </w:rPr>
              <w:t>rakční vedení je navrženo v celé délce novostavby Tišické spojky.</w:t>
            </w:r>
          </w:p>
          <w:p w14:paraId="0B3C5B61" w14:textId="4A46064A" w:rsidR="008D25D8" w:rsidRPr="000E5929" w:rsidRDefault="008D25D8" w:rsidP="000E5929">
            <w:pPr>
              <w:rPr>
                <w:iCs/>
              </w:rPr>
            </w:pPr>
            <w:r>
              <w:rPr>
                <w:iCs/>
              </w:rPr>
              <w:t>V rámci zabezpečení je</w:t>
            </w:r>
            <w:r w:rsidRPr="008D25D8">
              <w:rPr>
                <w:iCs/>
              </w:rPr>
              <w:t xml:space="preserve"> navržena realizace ETCS L2. Předpokládány jsou nezbytné úpravy existujícího systému ETCS </w:t>
            </w:r>
            <w:r>
              <w:rPr>
                <w:iCs/>
              </w:rPr>
              <w:t>v </w:t>
            </w:r>
            <w:proofErr w:type="spellStart"/>
            <w:r>
              <w:rPr>
                <w:iCs/>
              </w:rPr>
              <w:t>žst</w:t>
            </w:r>
            <w:proofErr w:type="spellEnd"/>
            <w:r>
              <w:rPr>
                <w:iCs/>
              </w:rPr>
              <w:t>.</w:t>
            </w:r>
            <w:r w:rsidRPr="008D25D8">
              <w:rPr>
                <w:iCs/>
              </w:rPr>
              <w:t xml:space="preserve"> Všetaty, pokud by </w:t>
            </w:r>
            <w:r>
              <w:rPr>
                <w:iCs/>
              </w:rPr>
              <w:t>realizace Tišické spojky</w:t>
            </w:r>
            <w:r w:rsidRPr="008D25D8">
              <w:rPr>
                <w:iCs/>
              </w:rPr>
              <w:t xml:space="preserve"> následovala až po modernizaci </w:t>
            </w:r>
            <w:proofErr w:type="spellStart"/>
            <w:r>
              <w:rPr>
                <w:iCs/>
              </w:rPr>
              <w:t>žst</w:t>
            </w:r>
            <w:proofErr w:type="spellEnd"/>
            <w:r>
              <w:rPr>
                <w:iCs/>
              </w:rPr>
              <w:t>. Všetaty.</w:t>
            </w:r>
            <w:r w:rsidRPr="008D25D8">
              <w:rPr>
                <w:sz w:val="18"/>
                <w:szCs w:val="18"/>
              </w:rPr>
              <w:t xml:space="preserve"> </w:t>
            </w:r>
            <w:r w:rsidRPr="008D25D8">
              <w:rPr>
                <w:iCs/>
              </w:rPr>
              <w:t>Trať bude řízena z CDP Praha, kde budou provedeny nezbytné úpravy na nový stav.</w:t>
            </w:r>
          </w:p>
          <w:p w14:paraId="086ADD4B" w14:textId="72526B0A" w:rsidR="000E5929" w:rsidRDefault="008D25D8" w:rsidP="00BC4983">
            <w:pPr>
              <w:rPr>
                <w:iCs/>
              </w:rPr>
            </w:pPr>
            <w:r>
              <w:rPr>
                <w:iCs/>
              </w:rPr>
              <w:t>Bude zřízeno nové SZZ 3. kategorie pro odbočku Tišice, v </w:t>
            </w:r>
            <w:proofErr w:type="spellStart"/>
            <w:r>
              <w:rPr>
                <w:iCs/>
              </w:rPr>
              <w:t>žst</w:t>
            </w:r>
            <w:proofErr w:type="spellEnd"/>
            <w:r>
              <w:rPr>
                <w:iCs/>
              </w:rPr>
              <w:t>. Všetaty budou provedeny</w:t>
            </w:r>
            <w:r w:rsidRPr="008D25D8">
              <w:rPr>
                <w:sz w:val="18"/>
                <w:szCs w:val="18"/>
              </w:rPr>
              <w:t xml:space="preserve"> </w:t>
            </w:r>
            <w:r w:rsidRPr="008D25D8">
              <w:rPr>
                <w:iCs/>
              </w:rPr>
              <w:t>nutné úpravy vyvolané zapojením Tišické spojky</w:t>
            </w:r>
            <w:r>
              <w:rPr>
                <w:iCs/>
              </w:rPr>
              <w:t>.</w:t>
            </w:r>
          </w:p>
          <w:p w14:paraId="30BD62A5" w14:textId="7CC07FF9" w:rsidR="00F55646" w:rsidRPr="00E446A9" w:rsidRDefault="00E446A9" w:rsidP="007757BA">
            <w:pPr>
              <w:rPr>
                <w:iCs/>
              </w:rPr>
            </w:pPr>
            <w:r>
              <w:rPr>
                <w:iCs/>
              </w:rPr>
              <w:t>Trať bude vybavena GSM-R. Kabelizace sdělovacího zařízení bude z</w:t>
            </w:r>
            <w:r w:rsidRPr="00E446A9">
              <w:rPr>
                <w:iCs/>
              </w:rPr>
              <w:t xml:space="preserve"> důvodu elektrizace střídavou trakcí </w:t>
            </w:r>
            <w:r>
              <w:rPr>
                <w:iCs/>
              </w:rPr>
              <w:t>řešena</w:t>
            </w:r>
            <w:r w:rsidRPr="00E446A9">
              <w:rPr>
                <w:iCs/>
              </w:rPr>
              <w:t xml:space="preserve"> metalický</w:t>
            </w:r>
            <w:r>
              <w:rPr>
                <w:iCs/>
              </w:rPr>
              <w:t>m</w:t>
            </w:r>
            <w:r w:rsidRPr="00E446A9">
              <w:rPr>
                <w:iCs/>
              </w:rPr>
              <w:t xml:space="preserve"> traťový</w:t>
            </w:r>
            <w:r>
              <w:rPr>
                <w:iCs/>
              </w:rPr>
              <w:t>m</w:t>
            </w:r>
            <w:r w:rsidRPr="00E446A9">
              <w:rPr>
                <w:iCs/>
              </w:rPr>
              <w:t xml:space="preserve"> kabel</w:t>
            </w:r>
            <w:r>
              <w:rPr>
                <w:iCs/>
              </w:rPr>
              <w:t>em</w:t>
            </w:r>
            <w:r w:rsidRPr="00E446A9">
              <w:rPr>
                <w:iCs/>
              </w:rPr>
              <w:t xml:space="preserve"> v provedení TCEPKPFLEZE s vyšším redukčním činitelem. Tento kabel zajistí odolnost proti indukovanému napětí. </w:t>
            </w:r>
          </w:p>
        </w:tc>
      </w:tr>
    </w:tbl>
    <w:p w14:paraId="5A0C1146" w14:textId="77777777" w:rsidR="008867E7" w:rsidRDefault="008867E7" w:rsidP="003645DA"/>
    <w:p w14:paraId="6C300F3E" w14:textId="072CEC22" w:rsidR="00404054" w:rsidRPr="00404054" w:rsidRDefault="00404631" w:rsidP="00404054">
      <w:pPr>
        <w:pStyle w:val="Nadpis2"/>
      </w:pPr>
      <w:r>
        <w:t>R</w:t>
      </w:r>
      <w:r w:rsidR="00404054" w:rsidRPr="00404054">
        <w:t>ozhodující</w:t>
      </w:r>
      <w:r>
        <w:t xml:space="preserve"> </w:t>
      </w:r>
      <w:r w:rsidR="00404054" w:rsidRPr="00404054">
        <w:t>stavební objekt</w:t>
      </w:r>
      <w:r>
        <w:t>y</w:t>
      </w:r>
      <w:r w:rsidR="00404054" w:rsidRPr="00404054">
        <w:t xml:space="preserve"> a provozní soubo</w:t>
      </w:r>
      <w:r>
        <w:t>ry</w:t>
      </w:r>
    </w:p>
    <w:tbl>
      <w:tblPr>
        <w:tblStyle w:val="Mkatabulky"/>
        <w:tblW w:w="5000" w:type="pct"/>
        <w:tblLook w:val="04A0" w:firstRow="1" w:lastRow="0" w:firstColumn="1" w:lastColumn="0" w:noHBand="0" w:noVBand="1"/>
      </w:tblPr>
      <w:tblGrid>
        <w:gridCol w:w="9062"/>
      </w:tblGrid>
      <w:tr w:rsidR="00F55646" w:rsidRPr="000F5938" w14:paraId="534C510A" w14:textId="77777777" w:rsidTr="00585F07">
        <w:trPr>
          <w:tblHeader/>
        </w:trPr>
        <w:tc>
          <w:tcPr>
            <w:tcW w:w="5000" w:type="pct"/>
            <w:shd w:val="clear" w:color="auto" w:fill="BDD6EE" w:themeFill="accent1" w:themeFillTint="66"/>
          </w:tcPr>
          <w:p w14:paraId="3B5F54FD" w14:textId="3672EA90" w:rsidR="00F55646" w:rsidRPr="000F5938" w:rsidRDefault="00404631" w:rsidP="00585F07">
            <w:pPr>
              <w:rPr>
                <w:b/>
              </w:rPr>
            </w:pPr>
            <w:r w:rsidRPr="00404631">
              <w:rPr>
                <w:b/>
              </w:rPr>
              <w:t>Specifikace rozhodujících stavebních objektů a provozních souborů</w:t>
            </w:r>
          </w:p>
        </w:tc>
      </w:tr>
      <w:tr w:rsidR="00F55646" w:rsidRPr="000F5938" w14:paraId="4AEF7B7E" w14:textId="77777777" w:rsidTr="00585F07">
        <w:trPr>
          <w:tblHeader/>
        </w:trPr>
        <w:tc>
          <w:tcPr>
            <w:tcW w:w="5000" w:type="pct"/>
          </w:tcPr>
          <w:p w14:paraId="590EC104" w14:textId="7927377D" w:rsidR="00955FA7" w:rsidRDefault="00955FA7" w:rsidP="00404631">
            <w:pPr>
              <w:jc w:val="left"/>
              <w:rPr>
                <w:iCs/>
              </w:rPr>
            </w:pPr>
            <w:r>
              <w:rPr>
                <w:iCs/>
              </w:rPr>
              <w:t xml:space="preserve">Největší podíl na stavebních nákladech má železniční svršek (28,76 %), železniční spodek </w:t>
            </w:r>
            <w:r w:rsidR="000E5929">
              <w:rPr>
                <w:iCs/>
              </w:rPr>
              <w:t>(26,68 %), zabezpečovací zařízení (14,27 %), silnoproudá technologie (10,71 %) a trakční zařízení (7,19 %).</w:t>
            </w:r>
          </w:p>
          <w:p w14:paraId="400CED11" w14:textId="7088B3C3" w:rsidR="00F55646" w:rsidRPr="000E5929" w:rsidRDefault="00955FA7" w:rsidP="000E5929">
            <w:pPr>
              <w:jc w:val="left"/>
              <w:rPr>
                <w:iCs/>
              </w:rPr>
            </w:pPr>
            <w:r>
              <w:rPr>
                <w:iCs/>
              </w:rPr>
              <w:t>Jednotlivé stavební objekty a provozní soubory budou definovány v dalším stupni přípravy.</w:t>
            </w:r>
          </w:p>
        </w:tc>
      </w:tr>
    </w:tbl>
    <w:p w14:paraId="5C3DF467" w14:textId="77777777" w:rsidR="00A24F17" w:rsidRDefault="00A24F17" w:rsidP="003645DA"/>
    <w:p w14:paraId="4C58ACB1" w14:textId="6E920FD7" w:rsidR="00A24F17" w:rsidRDefault="00A24F17" w:rsidP="00A24F17">
      <w:pPr>
        <w:pStyle w:val="Nadpis2"/>
      </w:pPr>
      <w:r>
        <w:lastRenderedPageBreak/>
        <w:t>Územně technické podmínky</w:t>
      </w:r>
    </w:p>
    <w:tbl>
      <w:tblPr>
        <w:tblStyle w:val="Mkatabulky"/>
        <w:tblW w:w="5000" w:type="pct"/>
        <w:tblLook w:val="04A0" w:firstRow="1" w:lastRow="0" w:firstColumn="1" w:lastColumn="0" w:noHBand="0" w:noVBand="1"/>
      </w:tblPr>
      <w:tblGrid>
        <w:gridCol w:w="9062"/>
      </w:tblGrid>
      <w:tr w:rsidR="00F55646" w:rsidRPr="000F5938" w14:paraId="15B3CA28" w14:textId="77777777" w:rsidTr="581BACBC">
        <w:trPr>
          <w:tblHeader/>
        </w:trPr>
        <w:tc>
          <w:tcPr>
            <w:tcW w:w="5000" w:type="pct"/>
            <w:shd w:val="clear" w:color="auto" w:fill="BDD6EE" w:themeFill="accent1" w:themeFillTint="66"/>
          </w:tcPr>
          <w:p w14:paraId="60617434" w14:textId="0419D6DB" w:rsidR="00F55646" w:rsidRPr="000F5938" w:rsidRDefault="00035917" w:rsidP="00585F07">
            <w:pPr>
              <w:rPr>
                <w:b/>
              </w:rPr>
            </w:pPr>
            <w:r>
              <w:rPr>
                <w:b/>
              </w:rPr>
              <w:t>Územně technické podmínky</w:t>
            </w:r>
          </w:p>
        </w:tc>
      </w:tr>
      <w:tr w:rsidR="00F55646" w:rsidRPr="000F5938" w14:paraId="2C4D331B" w14:textId="77777777" w:rsidTr="581BACBC">
        <w:trPr>
          <w:tblHeader/>
        </w:trPr>
        <w:tc>
          <w:tcPr>
            <w:tcW w:w="5000" w:type="pct"/>
          </w:tcPr>
          <w:p w14:paraId="34EE129F" w14:textId="5B092CD7" w:rsidR="00F55646" w:rsidRPr="00AF5E61" w:rsidRDefault="00C36DB2" w:rsidP="00035917">
            <w:r>
              <w:t>R</w:t>
            </w:r>
            <w:r w:rsidR="00035917" w:rsidRPr="00C36DB2">
              <w:t>ozsah a způsob zabezpečení přeložek inženýrských sítí</w:t>
            </w:r>
            <w:r w:rsidRPr="0082446A">
              <w:t xml:space="preserve"> bud</w:t>
            </w:r>
            <w:r>
              <w:t>e</w:t>
            </w:r>
            <w:r w:rsidRPr="0082446A">
              <w:t xml:space="preserve"> řešen a popsán v</w:t>
            </w:r>
            <w:r>
              <w:t> navazujícím stupni přípravy.</w:t>
            </w:r>
            <w:r w:rsidRPr="00C36DB2">
              <w:t xml:space="preserve"> </w:t>
            </w:r>
            <w:r>
              <w:t>N</w:t>
            </w:r>
            <w:r w:rsidRPr="00C36DB2">
              <w:t xml:space="preserve">apojení na ostatní dopravní infrastrukturu </w:t>
            </w:r>
            <w:r>
              <w:t>není předmětem záměru.</w:t>
            </w:r>
          </w:p>
        </w:tc>
      </w:tr>
    </w:tbl>
    <w:p w14:paraId="6131BE26" w14:textId="77777777" w:rsidR="00A24F17" w:rsidRDefault="00A24F17" w:rsidP="003645DA"/>
    <w:p w14:paraId="717116BE" w14:textId="77777777" w:rsidR="00C135E6" w:rsidRPr="001E41C5" w:rsidRDefault="00C135E6" w:rsidP="00C135E6">
      <w:pPr>
        <w:pStyle w:val="Nadpis2"/>
      </w:pPr>
      <w:r w:rsidRPr="001E41C5">
        <w:t xml:space="preserve">Požadavky na inteligentní dopravní systémy (ITS) </w:t>
      </w:r>
    </w:p>
    <w:p w14:paraId="63998441" w14:textId="366950A1" w:rsidR="00282C4A" w:rsidRPr="00725740" w:rsidRDefault="00282C4A" w:rsidP="578D5069">
      <w:pPr>
        <w:rPr>
          <w:i/>
          <w:iCs/>
        </w:rPr>
      </w:pPr>
      <w:r w:rsidRPr="00725740">
        <w:rPr>
          <w:i/>
          <w:iCs/>
        </w:rPr>
        <w:t xml:space="preserve">Jsou-li ITS či C-ITS výhradním/hlavním předmětem záměru projektu, využijte pro zpracování záměru projektu vzor „projektového záměru“ dle podkapitoly </w:t>
      </w:r>
      <w:r w:rsidR="32F59096" w:rsidRPr="00725740">
        <w:rPr>
          <w:i/>
          <w:iCs/>
        </w:rPr>
        <w:t>7</w:t>
      </w:r>
      <w:r w:rsidRPr="00725740">
        <w:rPr>
          <w:i/>
          <w:iCs/>
        </w:rPr>
        <w:t>.1 Pravidel.</w:t>
      </w:r>
    </w:p>
    <w:p w14:paraId="3A461808" w14:textId="66858370" w:rsidR="00373652" w:rsidRPr="00725740" w:rsidRDefault="00183B07" w:rsidP="000C52BA">
      <w:pPr>
        <w:rPr>
          <w:i/>
        </w:rPr>
      </w:pPr>
      <w:r w:rsidRPr="00725740">
        <w:rPr>
          <w:i/>
        </w:rPr>
        <w:t xml:space="preserve">Jsou-li </w:t>
      </w:r>
      <w:r w:rsidR="007A7BAF" w:rsidRPr="00725740">
        <w:rPr>
          <w:i/>
        </w:rPr>
        <w:t xml:space="preserve">prvky </w:t>
      </w:r>
      <w:r w:rsidRPr="00725740">
        <w:rPr>
          <w:i/>
        </w:rPr>
        <w:t>ITS</w:t>
      </w:r>
      <w:r w:rsidR="007A7BAF" w:rsidRPr="00725740">
        <w:rPr>
          <w:i/>
        </w:rPr>
        <w:t xml:space="preserve"> či C-ITS</w:t>
      </w:r>
      <w:r w:rsidRPr="00725740">
        <w:rPr>
          <w:i/>
        </w:rPr>
        <w:t xml:space="preserve"> pouze dílčí částí záměru projektu </w:t>
      </w:r>
      <w:r w:rsidR="007A7BAF" w:rsidRPr="00725740">
        <w:rPr>
          <w:i/>
        </w:rPr>
        <w:t>stavby</w:t>
      </w:r>
      <w:r w:rsidRPr="00725740">
        <w:rPr>
          <w:i/>
        </w:rPr>
        <w:t>, uv</w:t>
      </w:r>
      <w:r w:rsidR="00332666" w:rsidRPr="00725740">
        <w:rPr>
          <w:i/>
        </w:rPr>
        <w:t>eďte následující</w:t>
      </w:r>
      <w:r w:rsidRPr="00725740">
        <w:rPr>
          <w:i/>
        </w:rPr>
        <w:t xml:space="preserve"> informace.</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064"/>
      </w:tblGrid>
      <w:tr w:rsidR="00373652" w:rsidRPr="005E6070" w14:paraId="3A23D3DA" w14:textId="77777777" w:rsidTr="00585F07">
        <w:trPr>
          <w:trHeight w:val="20"/>
          <w:tblHeader/>
        </w:trPr>
        <w:tc>
          <w:tcPr>
            <w:tcW w:w="5000" w:type="pct"/>
            <w:shd w:val="clear" w:color="auto" w:fill="BDD6EE" w:themeFill="accent1" w:themeFillTint="66"/>
            <w:noWrap/>
            <w:hideMark/>
          </w:tcPr>
          <w:p w14:paraId="294AEAF0" w14:textId="09429667" w:rsidR="00373652" w:rsidRPr="005E6070" w:rsidRDefault="00373652" w:rsidP="00585F07">
            <w:pPr>
              <w:rPr>
                <w:b/>
              </w:rPr>
            </w:pPr>
            <w:r>
              <w:rPr>
                <w:b/>
              </w:rPr>
              <w:t>Požadavky ITS</w:t>
            </w:r>
          </w:p>
        </w:tc>
      </w:tr>
      <w:tr w:rsidR="00373652" w:rsidRPr="00BF5681" w14:paraId="4100F52B" w14:textId="77777777" w:rsidTr="00585F07">
        <w:trPr>
          <w:trHeight w:val="20"/>
        </w:trPr>
        <w:tc>
          <w:tcPr>
            <w:tcW w:w="5000" w:type="pct"/>
            <w:shd w:val="clear" w:color="auto" w:fill="F2F2F2" w:themeFill="background1" w:themeFillShade="F2"/>
          </w:tcPr>
          <w:p w14:paraId="0B8323CC" w14:textId="49C8975C" w:rsidR="00373652" w:rsidRPr="003F7B0D" w:rsidRDefault="00373652" w:rsidP="000908D1">
            <w:pPr>
              <w:pStyle w:val="Odstavecseseznamem"/>
              <w:numPr>
                <w:ilvl w:val="0"/>
                <w:numId w:val="33"/>
              </w:numPr>
            </w:pPr>
            <w:r w:rsidRPr="00373652">
              <w:t xml:space="preserve">Zhodnocení, zda </w:t>
            </w:r>
            <w:r w:rsidR="000908D1">
              <w:t>akce</w:t>
            </w:r>
            <w:r w:rsidRPr="00373652">
              <w:t xml:space="preserve"> svou realizací přispěje k naplnění cílů a na tyto cíle navazující opatření vládou schválených strategických materiálů (např. „Strategie rozvoje inteligentních dopravních systémů 2021-2027 s výhledem do roku 2050“ apod.)</w:t>
            </w:r>
          </w:p>
        </w:tc>
      </w:tr>
      <w:tr w:rsidR="00373652" w:rsidRPr="00BF5681" w14:paraId="2147BAD1" w14:textId="77777777" w:rsidTr="00373652">
        <w:trPr>
          <w:trHeight w:val="20"/>
        </w:trPr>
        <w:tc>
          <w:tcPr>
            <w:tcW w:w="5000" w:type="pct"/>
            <w:shd w:val="clear" w:color="auto" w:fill="auto"/>
          </w:tcPr>
          <w:p w14:paraId="46EA3032" w14:textId="1F484F7A" w:rsidR="00BC69D6" w:rsidRPr="009F578B" w:rsidRDefault="00BC69D6" w:rsidP="00183828">
            <w:pPr>
              <w:spacing w:line="240" w:lineRule="auto"/>
              <w:rPr>
                <w:iCs/>
              </w:rPr>
            </w:pPr>
            <w:r>
              <w:rPr>
                <w:iCs/>
              </w:rPr>
              <w:t>Zahrnutí</w:t>
            </w:r>
            <w:r w:rsidR="009F578B">
              <w:rPr>
                <w:iCs/>
              </w:rPr>
              <w:t xml:space="preserve"> ETCS a GSM-R do navržené infrastruktury </w:t>
            </w:r>
            <w:r>
              <w:rPr>
                <w:iCs/>
              </w:rPr>
              <w:t>vede k implementaci</w:t>
            </w:r>
            <w:r w:rsidR="009F578B" w:rsidRPr="009F578B">
              <w:rPr>
                <w:iCs/>
              </w:rPr>
              <w:t xml:space="preserve"> evropské </w:t>
            </w:r>
            <w:r>
              <w:rPr>
                <w:iCs/>
              </w:rPr>
              <w:t>legislativy</w:t>
            </w:r>
            <w:r w:rsidR="009F578B" w:rsidRPr="009F578B">
              <w:rPr>
                <w:iCs/>
              </w:rPr>
              <w:t xml:space="preserve"> na národní úrovni</w:t>
            </w:r>
            <w:r>
              <w:rPr>
                <w:iCs/>
              </w:rPr>
              <w:t>.</w:t>
            </w:r>
            <w:r w:rsidR="009F578B">
              <w:rPr>
                <w:iCs/>
              </w:rPr>
              <w:t xml:space="preserve"> </w:t>
            </w:r>
            <w:r>
              <w:rPr>
                <w:iCs/>
              </w:rPr>
              <w:t>P</w:t>
            </w:r>
            <w:r w:rsidR="009F578B">
              <w:rPr>
                <w:iCs/>
              </w:rPr>
              <w:t>lní</w:t>
            </w:r>
            <w:r>
              <w:rPr>
                <w:iCs/>
              </w:rPr>
              <w:t xml:space="preserve"> se tak</w:t>
            </w:r>
            <w:r w:rsidR="009F578B">
              <w:rPr>
                <w:iCs/>
              </w:rPr>
              <w:t xml:space="preserve"> cíl „jednotný evropský dopravní prostor“</w:t>
            </w:r>
            <w:r>
              <w:rPr>
                <w:iCs/>
              </w:rPr>
              <w:t xml:space="preserve"> ze Strategie rozvoje inteligentních dopravních systémů 2021 – 2027 s výhledem do roku 2050. Přispívá se zároveň k plnění opatření C09 </w:t>
            </w:r>
            <w:r w:rsidR="008B1149">
              <w:rPr>
                <w:iCs/>
              </w:rPr>
              <w:t>–</w:t>
            </w:r>
            <w:r>
              <w:rPr>
                <w:iCs/>
              </w:rPr>
              <w:t xml:space="preserve"> </w:t>
            </w:r>
            <w:r w:rsidR="008B1149" w:rsidRPr="008B1149">
              <w:rPr>
                <w:iCs/>
              </w:rPr>
              <w:t>Systémový přístup a aplikace technických norem a standardů pro zajištění interoperability ITS</w:t>
            </w:r>
            <w:r w:rsidR="008B1149">
              <w:rPr>
                <w:iCs/>
              </w:rPr>
              <w:t xml:space="preserve"> a opatření C10 –</w:t>
            </w:r>
            <w:r w:rsidR="008B1149" w:rsidRPr="008B1149">
              <w:rPr>
                <w:rFonts w:ascii="Calibri" w:eastAsia="Calibri" w:hAnsi="Calibri" w:cs="Calibri"/>
                <w:lang w:eastAsia="cs-CZ"/>
              </w:rPr>
              <w:t xml:space="preserve"> </w:t>
            </w:r>
            <w:r w:rsidR="008B1149" w:rsidRPr="008B1149">
              <w:rPr>
                <w:iCs/>
              </w:rPr>
              <w:t>Zvýšení odolnosti dopravního systému před rizikovými vlivy a mimořádnostmi</w:t>
            </w:r>
            <w:r w:rsidR="008B1149">
              <w:rPr>
                <w:iCs/>
              </w:rPr>
              <w:t>.</w:t>
            </w:r>
          </w:p>
        </w:tc>
      </w:tr>
      <w:tr w:rsidR="00B869B7" w:rsidRPr="00BF5681" w14:paraId="253FC4D4" w14:textId="77777777" w:rsidTr="00886996">
        <w:trPr>
          <w:trHeight w:val="20"/>
        </w:trPr>
        <w:tc>
          <w:tcPr>
            <w:tcW w:w="500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258018A" w14:textId="32D53199" w:rsidR="00B869B7" w:rsidRPr="00B869B7" w:rsidRDefault="00886996" w:rsidP="00886996">
            <w:pPr>
              <w:pStyle w:val="Odstavecseseznamem"/>
              <w:numPr>
                <w:ilvl w:val="0"/>
                <w:numId w:val="33"/>
              </w:numPr>
              <w:jc w:val="left"/>
            </w:pPr>
            <w:r>
              <w:t>Z</w:t>
            </w:r>
            <w:r w:rsidRPr="000C52BA">
              <w:t xml:space="preserve">ákladní technické řešení obsahující stručný výčet prvků inteligentních dopravních systémů (ITS), stručně popisující použitou technologii, místo instalace a zahrnující definovaná komunikační rozhraní. V případě, že některá z uvedených informací nebude při zpracování záměru projektu k dispozici (především v rámci nových staveb), uvede se popis, ze kterého bude patrné, jaké typy ITS budou instalovány, v jakém úseku dopravní infrastruktury a jejich informační vazba na nadřazené systémy ITS (např. napojení na JSDI/NDIC, dispečerské systémy, monitorovací </w:t>
            </w:r>
            <w:proofErr w:type="gramStart"/>
            <w:r w:rsidRPr="000C52BA">
              <w:t>systémy,</w:t>
            </w:r>
            <w:proofErr w:type="gramEnd"/>
            <w:r w:rsidRPr="000C52BA">
              <w:t xml:space="preserve"> apod.)</w:t>
            </w:r>
          </w:p>
        </w:tc>
      </w:tr>
      <w:tr w:rsidR="00B869B7" w:rsidRPr="00BF5681" w14:paraId="27D2B649" w14:textId="77777777" w:rsidTr="00B869B7">
        <w:trPr>
          <w:trHeight w:val="20"/>
        </w:trPr>
        <w:tc>
          <w:tcPr>
            <w:tcW w:w="5000" w:type="pct"/>
            <w:tcBorders>
              <w:top w:val="single" w:sz="4" w:space="0" w:color="auto"/>
              <w:left w:val="single" w:sz="4" w:space="0" w:color="auto"/>
              <w:bottom w:val="single" w:sz="4" w:space="0" w:color="auto"/>
              <w:right w:val="single" w:sz="4" w:space="0" w:color="auto"/>
            </w:tcBorders>
            <w:shd w:val="clear" w:color="auto" w:fill="auto"/>
          </w:tcPr>
          <w:p w14:paraId="43C40774" w14:textId="77777777" w:rsidR="00B869B7" w:rsidRPr="00F64DA4" w:rsidRDefault="00DD702B" w:rsidP="00183828">
            <w:pPr>
              <w:spacing w:line="240" w:lineRule="auto"/>
              <w:rPr>
                <w:iCs/>
              </w:rPr>
            </w:pPr>
            <w:r w:rsidRPr="00F64DA4">
              <w:rPr>
                <w:iCs/>
              </w:rPr>
              <w:t xml:space="preserve">V celé délce trati je navržena realizace ETCS L2. Předpokládány jsou nezbytné úpravy existujícího systému ETCS na nový stav </w:t>
            </w:r>
            <w:proofErr w:type="spellStart"/>
            <w:r w:rsidRPr="00F64DA4">
              <w:rPr>
                <w:iCs/>
              </w:rPr>
              <w:t>žst</w:t>
            </w:r>
            <w:proofErr w:type="spellEnd"/>
            <w:r w:rsidRPr="00F64DA4">
              <w:rPr>
                <w:iCs/>
              </w:rPr>
              <w:t>. Všetaty, pokud by řešená stavba následovala až po modernizaci zmíněné stanice.</w:t>
            </w:r>
          </w:p>
          <w:p w14:paraId="608DE75F" w14:textId="77777777" w:rsidR="00DD702B" w:rsidRPr="00F64DA4" w:rsidRDefault="00DD702B" w:rsidP="00183828">
            <w:pPr>
              <w:spacing w:line="240" w:lineRule="auto"/>
              <w:rPr>
                <w:iCs/>
              </w:rPr>
            </w:pPr>
            <w:r w:rsidRPr="00F64DA4">
              <w:rPr>
                <w:iCs/>
              </w:rPr>
              <w:t>Trať bude vybavena GSM-R.</w:t>
            </w:r>
          </w:p>
          <w:p w14:paraId="5656D80C" w14:textId="4F9D0DFA" w:rsidR="00DD702B" w:rsidRPr="00F64DA4" w:rsidRDefault="00DD702B" w:rsidP="00183828">
            <w:pPr>
              <w:spacing w:line="240" w:lineRule="auto"/>
              <w:rPr>
                <w:iCs/>
              </w:rPr>
            </w:pPr>
            <w:r w:rsidRPr="00F64DA4">
              <w:rPr>
                <w:iCs/>
              </w:rPr>
              <w:t>Vybudování systému automatického vedení vlaku není navrženo, stejně jako graficko-technologická nástavba k podpoře řízení dopravních procesů na vymezeném úseku železniční sítě.</w:t>
            </w:r>
          </w:p>
          <w:p w14:paraId="1A6ECD9D" w14:textId="4A7813CC" w:rsidR="00F64DA4" w:rsidRPr="00F64DA4" w:rsidRDefault="00DD702B" w:rsidP="00183828">
            <w:pPr>
              <w:spacing w:line="240" w:lineRule="auto"/>
              <w:rPr>
                <w:iCs/>
              </w:rPr>
            </w:pPr>
            <w:r w:rsidRPr="00F64DA4">
              <w:rPr>
                <w:iCs/>
              </w:rPr>
              <w:t xml:space="preserve">Vzhledem k zaměření projektu není relevantní ani zřízení </w:t>
            </w:r>
            <w:r w:rsidR="008B00DE" w:rsidRPr="00F64DA4">
              <w:rPr>
                <w:iCs/>
              </w:rPr>
              <w:t>nových informačních systémů pro cestující.</w:t>
            </w:r>
          </w:p>
        </w:tc>
      </w:tr>
      <w:tr w:rsidR="00B869B7" w:rsidRPr="00BF5681" w14:paraId="09291BF8" w14:textId="77777777" w:rsidTr="007F31E7">
        <w:trPr>
          <w:trHeight w:val="20"/>
        </w:trPr>
        <w:tc>
          <w:tcPr>
            <w:tcW w:w="500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B4DF7D2" w14:textId="14C7ADE7" w:rsidR="00B869B7" w:rsidRPr="00B869B7" w:rsidRDefault="007F31E7" w:rsidP="007F31E7">
            <w:pPr>
              <w:pStyle w:val="Odstavecseseznamem"/>
              <w:numPr>
                <w:ilvl w:val="0"/>
                <w:numId w:val="33"/>
              </w:numPr>
            </w:pPr>
            <w:r>
              <w:t>V</w:t>
            </w:r>
            <w:r w:rsidRPr="000C52BA">
              <w:t>azba projektu na nadřazené systémy ITS (např. napojení na NDIC, dispečerské systémy apod.)</w:t>
            </w:r>
          </w:p>
        </w:tc>
      </w:tr>
      <w:tr w:rsidR="00B869B7" w:rsidRPr="00BF5681" w14:paraId="10D61F23" w14:textId="77777777" w:rsidTr="00B869B7">
        <w:trPr>
          <w:trHeight w:val="20"/>
        </w:trPr>
        <w:tc>
          <w:tcPr>
            <w:tcW w:w="5000" w:type="pct"/>
            <w:tcBorders>
              <w:top w:val="single" w:sz="4" w:space="0" w:color="auto"/>
              <w:left w:val="single" w:sz="4" w:space="0" w:color="auto"/>
              <w:bottom w:val="single" w:sz="4" w:space="0" w:color="auto"/>
              <w:right w:val="single" w:sz="4" w:space="0" w:color="auto"/>
            </w:tcBorders>
            <w:shd w:val="clear" w:color="auto" w:fill="auto"/>
          </w:tcPr>
          <w:p w14:paraId="0922A30F" w14:textId="0BC06B3A" w:rsidR="00B869B7" w:rsidRPr="008B00DE" w:rsidRDefault="008B00DE" w:rsidP="00183828">
            <w:pPr>
              <w:spacing w:line="240" w:lineRule="auto"/>
              <w:rPr>
                <w:iCs/>
                <w:color w:val="FF0000"/>
              </w:rPr>
            </w:pPr>
            <w:r w:rsidRPr="008B00DE">
              <w:rPr>
                <w:iCs/>
              </w:rPr>
              <w:t>Veškeré technologické zařízení bude vybaveno prvky pro možnost dálkového řízení a dohledu z</w:t>
            </w:r>
            <w:r>
              <w:rPr>
                <w:iCs/>
              </w:rPr>
              <w:t> </w:t>
            </w:r>
            <w:r w:rsidRPr="008B00DE">
              <w:rPr>
                <w:iCs/>
              </w:rPr>
              <w:t xml:space="preserve">příslušného dispečerského pracoviště. Na </w:t>
            </w:r>
            <w:proofErr w:type="spellStart"/>
            <w:r w:rsidR="005A4392">
              <w:rPr>
                <w:iCs/>
              </w:rPr>
              <w:t>elektrodispečinku</w:t>
            </w:r>
            <w:proofErr w:type="spellEnd"/>
            <w:r w:rsidRPr="008B00DE">
              <w:rPr>
                <w:iCs/>
              </w:rPr>
              <w:t xml:space="preserve"> Praha-</w:t>
            </w:r>
            <w:proofErr w:type="spellStart"/>
            <w:r w:rsidRPr="008B00DE">
              <w:rPr>
                <w:iCs/>
              </w:rPr>
              <w:t>Křenovka</w:t>
            </w:r>
            <w:proofErr w:type="spellEnd"/>
            <w:r w:rsidRPr="008B00DE">
              <w:rPr>
                <w:iCs/>
              </w:rPr>
              <w:t xml:space="preserve"> budou provedeny veškeré nutné úpravy pro zahrnutí nové technologie do systému </w:t>
            </w:r>
            <w:r>
              <w:rPr>
                <w:iCs/>
              </w:rPr>
              <w:t>dispečerské řídicí technologie</w:t>
            </w:r>
            <w:r w:rsidRPr="008B00DE">
              <w:rPr>
                <w:iCs/>
              </w:rPr>
              <w:t>.</w:t>
            </w:r>
          </w:p>
        </w:tc>
      </w:tr>
      <w:tr w:rsidR="00B869B7" w:rsidRPr="00BF5681" w14:paraId="0C26E0B4" w14:textId="77777777" w:rsidTr="00A63AB3">
        <w:trPr>
          <w:trHeight w:val="20"/>
        </w:trPr>
        <w:tc>
          <w:tcPr>
            <w:tcW w:w="500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1754D66" w14:textId="4167A927" w:rsidR="00B869B7" w:rsidRPr="00B869B7" w:rsidRDefault="00A63AB3" w:rsidP="00A63AB3">
            <w:pPr>
              <w:pStyle w:val="Odstavecseseznamem"/>
              <w:numPr>
                <w:ilvl w:val="0"/>
                <w:numId w:val="33"/>
              </w:numPr>
            </w:pPr>
            <w:r w:rsidRPr="00A63AB3">
              <w:t>Stručný popis životního cyklu projektu ITS s předpokládanou dobou ukončení projektu a návrh postupu po jeho řádném ukončení, tj. demontáž, modernizace nebo nasazení zcela nové technologie (nový projekt)</w:t>
            </w:r>
          </w:p>
        </w:tc>
      </w:tr>
      <w:tr w:rsidR="00B869B7" w:rsidRPr="00BF5681" w14:paraId="3BB1CA8E" w14:textId="77777777" w:rsidTr="00B869B7">
        <w:trPr>
          <w:trHeight w:val="20"/>
        </w:trPr>
        <w:tc>
          <w:tcPr>
            <w:tcW w:w="5000" w:type="pct"/>
            <w:tcBorders>
              <w:top w:val="single" w:sz="4" w:space="0" w:color="auto"/>
              <w:left w:val="single" w:sz="4" w:space="0" w:color="auto"/>
              <w:bottom w:val="single" w:sz="4" w:space="0" w:color="auto"/>
              <w:right w:val="single" w:sz="4" w:space="0" w:color="auto"/>
            </w:tcBorders>
            <w:shd w:val="clear" w:color="auto" w:fill="auto"/>
          </w:tcPr>
          <w:p w14:paraId="4A871808" w14:textId="70B89D7A" w:rsidR="00B869B7" w:rsidRPr="008E378F" w:rsidRDefault="008E378F" w:rsidP="00585F07">
            <w:pPr>
              <w:rPr>
                <w:iCs/>
                <w:color w:val="FF0000"/>
              </w:rPr>
            </w:pPr>
            <w:r>
              <w:rPr>
                <w:iCs/>
              </w:rPr>
              <w:t xml:space="preserve">Jednotlivé prvky ITS budou po skončení životnosti nahrazovány </w:t>
            </w:r>
            <w:r w:rsidR="00B52F58">
              <w:rPr>
                <w:iCs/>
              </w:rPr>
              <w:t>novým zařízením. Ekonomické hodnocení projektu zahrnuje náklady na komplexní obnovu dožilých částí ITS.</w:t>
            </w:r>
          </w:p>
        </w:tc>
      </w:tr>
      <w:tr w:rsidR="00A63AB3" w:rsidRPr="00BF5681" w14:paraId="502CA5E3" w14:textId="77777777" w:rsidTr="00585F07">
        <w:trPr>
          <w:trHeight w:val="20"/>
        </w:trPr>
        <w:tc>
          <w:tcPr>
            <w:tcW w:w="5000" w:type="pct"/>
            <w:shd w:val="clear" w:color="auto" w:fill="F2F2F2" w:themeFill="background1" w:themeFillShade="F2"/>
          </w:tcPr>
          <w:p w14:paraId="295F82E0" w14:textId="32148066" w:rsidR="00A63AB3" w:rsidRPr="003F7B0D" w:rsidRDefault="00A63AB3" w:rsidP="00A63AB3">
            <w:pPr>
              <w:pStyle w:val="Odstavecseseznamem"/>
              <w:numPr>
                <w:ilvl w:val="0"/>
                <w:numId w:val="33"/>
              </w:numPr>
            </w:pPr>
            <w:r w:rsidRPr="00A63AB3">
              <w:lastRenderedPageBreak/>
              <w:t xml:space="preserve">Stanovení indikátorů KPI pro sledování, zda implementované řešení ITS plní funkci, která je realizací </w:t>
            </w:r>
            <w:r w:rsidR="00C40D18">
              <w:t>akce</w:t>
            </w:r>
            <w:r w:rsidRPr="00A63AB3">
              <w:t xml:space="preserve"> očekávána, tj. např. přináší realizace </w:t>
            </w:r>
            <w:r w:rsidR="00D73B3A">
              <w:t>akce</w:t>
            </w:r>
            <w:r w:rsidRPr="00A63AB3">
              <w:t xml:space="preserve"> očekávané přínosy správci silniční sítě (ŘSD) nebo účastníkům silničního provozu?</w:t>
            </w:r>
          </w:p>
        </w:tc>
      </w:tr>
      <w:tr w:rsidR="00A63AB3" w:rsidRPr="00BF5681" w14:paraId="765E9912" w14:textId="77777777" w:rsidTr="00585F07">
        <w:trPr>
          <w:trHeight w:val="20"/>
        </w:trPr>
        <w:tc>
          <w:tcPr>
            <w:tcW w:w="5000" w:type="pct"/>
            <w:shd w:val="clear" w:color="auto" w:fill="auto"/>
          </w:tcPr>
          <w:p w14:paraId="51A02280" w14:textId="77777777" w:rsidR="00A63AB3" w:rsidRDefault="00DA44CF" w:rsidP="00183828">
            <w:pPr>
              <w:spacing w:line="240" w:lineRule="auto"/>
              <w:rPr>
                <w:iCs/>
              </w:rPr>
            </w:pPr>
            <w:r>
              <w:rPr>
                <w:iCs/>
              </w:rPr>
              <w:t xml:space="preserve">S ohledem na charakter zaváděných prvků </w:t>
            </w:r>
            <w:r w:rsidR="004B6A0F">
              <w:rPr>
                <w:iCs/>
              </w:rPr>
              <w:t>ITS není relevantní.</w:t>
            </w:r>
          </w:p>
          <w:p w14:paraId="5BE4DF7D" w14:textId="088ED6A7" w:rsidR="004B6A0F" w:rsidRPr="00DA44CF" w:rsidRDefault="004B6A0F" w:rsidP="00183828">
            <w:pPr>
              <w:spacing w:line="240" w:lineRule="auto"/>
              <w:rPr>
                <w:iCs/>
              </w:rPr>
            </w:pPr>
            <w:r>
              <w:rPr>
                <w:iCs/>
              </w:rPr>
              <w:t>ETCS a GSM-R mají na navržené železniční infrastruktuře přispívat především k vyšší bezpečnosti provozu omezováním vlivu lidského faktoru. Prvky ITS se navíc budou realizovat jako součást nové trati, neexistuje tak srovnávací základna vlivu zřízení prvků ITS.</w:t>
            </w:r>
          </w:p>
        </w:tc>
      </w:tr>
      <w:tr w:rsidR="00A63AB3" w:rsidRPr="00BF5681" w14:paraId="3147E3FF" w14:textId="77777777" w:rsidTr="00585F07">
        <w:trPr>
          <w:trHeight w:val="20"/>
        </w:trPr>
        <w:tc>
          <w:tcPr>
            <w:tcW w:w="5000" w:type="pct"/>
            <w:shd w:val="clear" w:color="auto" w:fill="F2F2F2" w:themeFill="background1" w:themeFillShade="F2"/>
          </w:tcPr>
          <w:p w14:paraId="26233F80" w14:textId="6839C82B" w:rsidR="00A63AB3" w:rsidRPr="003F7B0D" w:rsidRDefault="005D58F1" w:rsidP="00A63AB3">
            <w:pPr>
              <w:pStyle w:val="Odstavecseseznamem"/>
              <w:numPr>
                <w:ilvl w:val="0"/>
                <w:numId w:val="33"/>
              </w:numPr>
            </w:pPr>
            <w:r w:rsidRPr="005D58F1">
              <w:t>Zhodnocení souladu projektu/záměru projektu s povinnostmi vyplývajícími z usnesení vlády ČR č. 86/2020, resp. č. 831/2022, o uložení povinností informovat útvar Hlavního architekta eGovernmentu Ministerstva vnitra v souvislosti s výdaji v oblasti informačních a komunikačních technologií.</w:t>
            </w:r>
          </w:p>
        </w:tc>
      </w:tr>
      <w:tr w:rsidR="00A63AB3" w:rsidRPr="00BF5681" w14:paraId="320005E6" w14:textId="77777777" w:rsidTr="00585F07">
        <w:trPr>
          <w:trHeight w:val="20"/>
        </w:trPr>
        <w:tc>
          <w:tcPr>
            <w:tcW w:w="5000" w:type="pct"/>
            <w:shd w:val="clear" w:color="auto" w:fill="auto"/>
          </w:tcPr>
          <w:p w14:paraId="2E0286F4" w14:textId="54FB6EAC" w:rsidR="00A63AB3" w:rsidRPr="00DA44CF" w:rsidRDefault="00721C69" w:rsidP="00183828">
            <w:pPr>
              <w:spacing w:line="240" w:lineRule="auto"/>
              <w:rPr>
                <w:iCs/>
              </w:rPr>
            </w:pPr>
            <w:r>
              <w:rPr>
                <w:iCs/>
              </w:rPr>
              <w:t>Z</w:t>
            </w:r>
            <w:r w:rsidR="003A266E" w:rsidRPr="00105920">
              <w:rPr>
                <w:iCs/>
              </w:rPr>
              <w:t xml:space="preserve">áměr projektu </w:t>
            </w:r>
            <w:r>
              <w:rPr>
                <w:iCs/>
              </w:rPr>
              <w:t>ne</w:t>
            </w:r>
            <w:r w:rsidR="003A266E" w:rsidRPr="00105920">
              <w:rPr>
                <w:iCs/>
              </w:rPr>
              <w:t>podléhá povinnosti uložené uvedeným usnesením vlády.</w:t>
            </w:r>
            <w:r>
              <w:rPr>
                <w:iCs/>
              </w:rPr>
              <w:t xml:space="preserve"> </w:t>
            </w:r>
            <w:r w:rsidR="00DA44CF">
              <w:rPr>
                <w:iCs/>
              </w:rPr>
              <w:t>Investiční náklady na informační a komunikační technologie projektu nepřesahují 20 mil. Kč.</w:t>
            </w:r>
          </w:p>
        </w:tc>
      </w:tr>
      <w:tr w:rsidR="00A63AB3" w:rsidRPr="00BF5681" w14:paraId="0088FF91" w14:textId="77777777" w:rsidTr="00585F07">
        <w:trPr>
          <w:trHeight w:val="20"/>
        </w:trPr>
        <w:tc>
          <w:tcPr>
            <w:tcW w:w="5000" w:type="pct"/>
            <w:shd w:val="clear" w:color="auto" w:fill="F2F2F2" w:themeFill="background1" w:themeFillShade="F2"/>
          </w:tcPr>
          <w:p w14:paraId="45EF186E" w14:textId="15D81E93" w:rsidR="00A63AB3" w:rsidRPr="003F7B0D" w:rsidRDefault="00A63AB3" w:rsidP="00585F07">
            <w:pPr>
              <w:pStyle w:val="Odstavecseseznamem"/>
              <w:numPr>
                <w:ilvl w:val="0"/>
                <w:numId w:val="33"/>
              </w:numPr>
            </w:pPr>
            <w:r w:rsidRPr="00A63AB3">
              <w:t>Stručný popis zajištění provozu služeb ITS a údržby ITS prvků včetně organizačních vazeb a vyčíslení přibližných zřizovacích a provozních nákladů</w:t>
            </w:r>
            <w:r>
              <w:t>.</w:t>
            </w:r>
          </w:p>
        </w:tc>
      </w:tr>
      <w:tr w:rsidR="00A63AB3" w:rsidRPr="00BF5681" w14:paraId="6551249B" w14:textId="77777777" w:rsidTr="00585F07">
        <w:trPr>
          <w:trHeight w:val="20"/>
        </w:trPr>
        <w:tc>
          <w:tcPr>
            <w:tcW w:w="5000" w:type="pct"/>
            <w:shd w:val="clear" w:color="auto" w:fill="auto"/>
          </w:tcPr>
          <w:p w14:paraId="47FDE4B4" w14:textId="2720B919" w:rsidR="00F64DA4" w:rsidRPr="00F64DA4" w:rsidRDefault="00F64DA4" w:rsidP="00183828">
            <w:pPr>
              <w:spacing w:line="240" w:lineRule="auto"/>
              <w:rPr>
                <w:iCs/>
                <w:u w:val="single"/>
              </w:rPr>
            </w:pPr>
            <w:r w:rsidRPr="00F64DA4">
              <w:rPr>
                <w:iCs/>
                <w:u w:val="single"/>
              </w:rPr>
              <w:t xml:space="preserve">Vazba na </w:t>
            </w:r>
            <w:r w:rsidR="00F117D4">
              <w:rPr>
                <w:iCs/>
                <w:u w:val="single"/>
              </w:rPr>
              <w:t>J</w:t>
            </w:r>
            <w:r w:rsidRPr="00F64DA4">
              <w:rPr>
                <w:iCs/>
                <w:u w:val="single"/>
              </w:rPr>
              <w:t>ednotné záznamové prostředí železniční dopravní cesty</w:t>
            </w:r>
          </w:p>
          <w:p w14:paraId="17AC7DE6" w14:textId="77777777" w:rsidR="00F64DA4" w:rsidRDefault="00F64DA4" w:rsidP="00183828">
            <w:pPr>
              <w:spacing w:line="240" w:lineRule="auto"/>
              <w:rPr>
                <w:iCs/>
              </w:rPr>
            </w:pPr>
            <w:r w:rsidRPr="00F64DA4">
              <w:rPr>
                <w:iCs/>
              </w:rPr>
              <w:t>Návrh technického řešení je v souladu s „Koncepčním záměrem projektu realizace Jednotného záznamového prostředí (JZP) ŽDC“ schváleným Centrální komisí MD dne 24. 3. 2020 a s materiálem „Specifikace a zásady uchovávání a výměny dat mezi JZP a technologiemi ŽDC“, verze v. 1.00 ze dne 26. 7. 2022, který má vazbu na záměr projektu investiční akce „Realizace systému Jednotného záznamového prostředí ŽDC“, schválený Centrální komisí MD dne 12. 7. 2022.</w:t>
            </w:r>
          </w:p>
          <w:p w14:paraId="7C75D947" w14:textId="5E37497B" w:rsidR="00F64DA4" w:rsidRDefault="00244766" w:rsidP="00183828">
            <w:pPr>
              <w:spacing w:line="240" w:lineRule="auto"/>
              <w:rPr>
                <w:iCs/>
              </w:rPr>
            </w:pPr>
            <w:r>
              <w:rPr>
                <w:iCs/>
              </w:rPr>
              <w:t>N</w:t>
            </w:r>
            <w:r w:rsidR="00F64DA4" w:rsidRPr="00F64DA4">
              <w:rPr>
                <w:iCs/>
              </w:rPr>
              <w:t>áklad</w:t>
            </w:r>
            <w:r>
              <w:rPr>
                <w:iCs/>
              </w:rPr>
              <w:t>y projektu obsahují</w:t>
            </w:r>
            <w:r w:rsidR="00F64DA4" w:rsidRPr="00F64DA4">
              <w:rPr>
                <w:iCs/>
              </w:rPr>
              <w:t xml:space="preserve"> integraci realizovaného systému zabezpečovacího zařízení do systému </w:t>
            </w:r>
            <w:r>
              <w:rPr>
                <w:iCs/>
              </w:rPr>
              <w:t xml:space="preserve">lokálních/centrálních serverů </w:t>
            </w:r>
            <w:r w:rsidR="00F64DA4" w:rsidRPr="00F64DA4">
              <w:rPr>
                <w:iCs/>
              </w:rPr>
              <w:t>diagnostiky</w:t>
            </w:r>
            <w:r>
              <w:rPr>
                <w:iCs/>
              </w:rPr>
              <w:t>.</w:t>
            </w:r>
            <w:r w:rsidR="00F64DA4" w:rsidRPr="00F64DA4">
              <w:rPr>
                <w:iCs/>
              </w:rPr>
              <w:t xml:space="preserve"> </w:t>
            </w:r>
            <w:r>
              <w:rPr>
                <w:iCs/>
              </w:rPr>
              <w:t>F</w:t>
            </w:r>
            <w:r w:rsidR="00F64DA4" w:rsidRPr="00F64DA4">
              <w:rPr>
                <w:iCs/>
              </w:rPr>
              <w:t xml:space="preserve">ormát výstupních dat ze zabezpečovacího zařízení bude umožňovat jejich následné zpracování a ukládání do příslušné </w:t>
            </w:r>
            <w:r>
              <w:rPr>
                <w:iCs/>
              </w:rPr>
              <w:t>užitné úložné oblasti JZP.</w:t>
            </w:r>
          </w:p>
          <w:p w14:paraId="3D227120" w14:textId="42E4FD71" w:rsidR="00244766" w:rsidRDefault="00244766" w:rsidP="00183828">
            <w:pPr>
              <w:spacing w:line="240" w:lineRule="auto"/>
              <w:rPr>
                <w:iCs/>
              </w:rPr>
            </w:pPr>
            <w:r>
              <w:rPr>
                <w:iCs/>
              </w:rPr>
              <w:t>N</w:t>
            </w:r>
            <w:r w:rsidRPr="00F64DA4">
              <w:rPr>
                <w:iCs/>
              </w:rPr>
              <w:t>áklad</w:t>
            </w:r>
            <w:r>
              <w:rPr>
                <w:iCs/>
              </w:rPr>
              <w:t>y projektu obsahují</w:t>
            </w:r>
            <w:r w:rsidRPr="00F64DA4">
              <w:rPr>
                <w:iCs/>
              </w:rPr>
              <w:t xml:space="preserve"> </w:t>
            </w:r>
            <w:r w:rsidRPr="00244766">
              <w:rPr>
                <w:iCs/>
              </w:rPr>
              <w:t>integraci realizovan</w:t>
            </w:r>
            <w:r>
              <w:rPr>
                <w:iCs/>
              </w:rPr>
              <w:t>é dálkové diagnostiky technologických systémů</w:t>
            </w:r>
            <w:r w:rsidRPr="00244766">
              <w:rPr>
                <w:iCs/>
              </w:rPr>
              <w:t xml:space="preserve"> do systému dispečera železniční infrastruktury</w:t>
            </w:r>
            <w:r>
              <w:rPr>
                <w:iCs/>
              </w:rPr>
              <w:t>.</w:t>
            </w:r>
            <w:r w:rsidRPr="00244766">
              <w:rPr>
                <w:iCs/>
              </w:rPr>
              <w:t xml:space="preserve"> </w:t>
            </w:r>
            <w:r>
              <w:rPr>
                <w:iCs/>
              </w:rPr>
              <w:t>F</w:t>
            </w:r>
            <w:r w:rsidRPr="00244766">
              <w:rPr>
                <w:iCs/>
              </w:rPr>
              <w:t xml:space="preserve">ormát výstupních dat bude umožňovat jejich následné zpracování a ukládání do příslušné </w:t>
            </w:r>
            <w:r>
              <w:rPr>
                <w:iCs/>
              </w:rPr>
              <w:t>užitné úložné oblasti</w:t>
            </w:r>
            <w:r w:rsidRPr="00244766">
              <w:rPr>
                <w:iCs/>
              </w:rPr>
              <w:t xml:space="preserve"> JZP</w:t>
            </w:r>
            <w:r>
              <w:rPr>
                <w:iCs/>
              </w:rPr>
              <w:t>.</w:t>
            </w:r>
          </w:p>
          <w:p w14:paraId="6F7C5CB1" w14:textId="77777777" w:rsidR="00F117D4" w:rsidRDefault="00F117D4" w:rsidP="00183828">
            <w:pPr>
              <w:spacing w:line="240" w:lineRule="auto"/>
              <w:rPr>
                <w:iCs/>
              </w:rPr>
            </w:pPr>
            <w:r>
              <w:rPr>
                <w:iCs/>
              </w:rPr>
              <w:t>Náklady projektu obsahují</w:t>
            </w:r>
            <w:r w:rsidR="00244766" w:rsidRPr="00244766">
              <w:rPr>
                <w:iCs/>
              </w:rPr>
              <w:t xml:space="preserve"> realizaci úložiště jednotlivých kamerových serverů tak, aby splnily podmínky na rozšířený úložný prostor</w:t>
            </w:r>
            <w:r>
              <w:rPr>
                <w:iCs/>
              </w:rPr>
              <w:t xml:space="preserve"> kamer</w:t>
            </w:r>
            <w:r w:rsidR="00244766" w:rsidRPr="00244766">
              <w:rPr>
                <w:iCs/>
              </w:rPr>
              <w:t xml:space="preserve"> JZP, který bude realizován v rámci stavby „Realizace systému Jednotného záznamového prostředí ŽDC“</w:t>
            </w:r>
            <w:r>
              <w:rPr>
                <w:iCs/>
              </w:rPr>
              <w:t>.</w:t>
            </w:r>
          </w:p>
          <w:p w14:paraId="22C11BB8" w14:textId="5088EAA6" w:rsidR="00A63AB3" w:rsidRPr="00F64DA4" w:rsidRDefault="00F117D4" w:rsidP="00183828">
            <w:pPr>
              <w:spacing w:line="240" w:lineRule="auto"/>
              <w:rPr>
                <w:iCs/>
              </w:rPr>
            </w:pPr>
            <w:r w:rsidRPr="00F117D4">
              <w:rPr>
                <w:iCs/>
              </w:rPr>
              <w:t xml:space="preserve">Náklady na integraci příslušných dat do JZP </w:t>
            </w:r>
            <w:r>
              <w:rPr>
                <w:iCs/>
              </w:rPr>
              <w:t>činí 1025 tis. Kč. J</w:t>
            </w:r>
            <w:r w:rsidRPr="00F117D4">
              <w:rPr>
                <w:iCs/>
              </w:rPr>
              <w:t>sou součástí nákladů, uvedených v</w:t>
            </w:r>
            <w:r>
              <w:rPr>
                <w:iCs/>
              </w:rPr>
              <w:t> </w:t>
            </w:r>
            <w:r w:rsidRPr="00F117D4">
              <w:rPr>
                <w:iCs/>
              </w:rPr>
              <w:t xml:space="preserve">kapitole </w:t>
            </w:r>
            <w:r>
              <w:rPr>
                <w:iCs/>
              </w:rPr>
              <w:t>4.2</w:t>
            </w:r>
            <w:r w:rsidRPr="00F117D4">
              <w:rPr>
                <w:iCs/>
              </w:rPr>
              <w:t xml:space="preserve"> Rozpis nákladů, pod položkou Technologie</w:t>
            </w:r>
            <w:r>
              <w:rPr>
                <w:iCs/>
              </w:rPr>
              <w:t>.</w:t>
            </w:r>
            <w:r w:rsidRPr="00F117D4">
              <w:rPr>
                <w:sz w:val="18"/>
                <w:szCs w:val="18"/>
              </w:rPr>
              <w:t xml:space="preserve"> </w:t>
            </w:r>
            <w:r w:rsidRPr="00F117D4">
              <w:rPr>
                <w:iCs/>
              </w:rPr>
              <w:t>V budoucnu nebudou potřeba žádné další náklady spojené s integrací technologie do JZP nad rámec rozpočtu t</w:t>
            </w:r>
            <w:r>
              <w:rPr>
                <w:iCs/>
              </w:rPr>
              <w:t>ohoto projektu.</w:t>
            </w:r>
          </w:p>
        </w:tc>
      </w:tr>
    </w:tbl>
    <w:p w14:paraId="6C7F340F" w14:textId="77777777" w:rsidR="00373652" w:rsidRPr="00221D0A" w:rsidRDefault="00373652" w:rsidP="000C52BA"/>
    <w:p w14:paraId="7EA45EA2" w14:textId="77777777" w:rsidR="009237B2" w:rsidRPr="00183B07" w:rsidRDefault="009237B2" w:rsidP="00ED3652">
      <w:pPr>
        <w:pStyle w:val="Nadpis1"/>
      </w:pPr>
      <w:r w:rsidRPr="00183B07">
        <w:t xml:space="preserve">Ekonomické parametry projektu </w:t>
      </w:r>
    </w:p>
    <w:p w14:paraId="3BDB8444" w14:textId="6A721374" w:rsidR="009237B2" w:rsidRDefault="0062349D" w:rsidP="009237B2">
      <w:pPr>
        <w:pStyle w:val="Nadpis2"/>
      </w:pPr>
      <w:r>
        <w:t>H</w:t>
      </w:r>
      <w:r w:rsidR="00E305BF">
        <w:t>odnocení ekonomické efektivnosti projektu</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067"/>
      </w:tblGrid>
      <w:tr w:rsidR="00C47656" w:rsidRPr="005E6070" w14:paraId="5DFFF484" w14:textId="77777777" w:rsidTr="00585F07">
        <w:trPr>
          <w:trHeight w:val="20"/>
          <w:tblHeader/>
        </w:trPr>
        <w:tc>
          <w:tcPr>
            <w:tcW w:w="9067" w:type="dxa"/>
            <w:shd w:val="clear" w:color="auto" w:fill="BDD6EE" w:themeFill="accent1" w:themeFillTint="66"/>
            <w:noWrap/>
            <w:hideMark/>
          </w:tcPr>
          <w:p w14:paraId="0083DE9E" w14:textId="33D6A866" w:rsidR="00C47656" w:rsidRPr="005E6070" w:rsidRDefault="002A2ED1" w:rsidP="00585F07">
            <w:pPr>
              <w:spacing w:line="240" w:lineRule="auto"/>
              <w:rPr>
                <w:b/>
              </w:rPr>
            </w:pPr>
            <w:r w:rsidRPr="002A2ED1">
              <w:rPr>
                <w:b/>
              </w:rPr>
              <w:t>Shrnutí hodnocení ekonomické efektivnosti projektu / shrnutí hodnocení výsledků a dopadů projektu</w:t>
            </w:r>
          </w:p>
        </w:tc>
      </w:tr>
      <w:tr w:rsidR="00C47656" w:rsidRPr="00BF5681" w14:paraId="3D453771" w14:textId="77777777" w:rsidTr="00585F07">
        <w:trPr>
          <w:trHeight w:val="20"/>
        </w:trPr>
        <w:tc>
          <w:tcPr>
            <w:tcW w:w="9067" w:type="dxa"/>
            <w:shd w:val="clear" w:color="auto" w:fill="auto"/>
          </w:tcPr>
          <w:p w14:paraId="33A609A2" w14:textId="76F9F9DF" w:rsidR="00AE76C4" w:rsidRPr="00265B3B" w:rsidRDefault="008D20FD" w:rsidP="00183828">
            <w:pPr>
              <w:spacing w:line="240" w:lineRule="auto"/>
            </w:pPr>
            <w:r w:rsidRPr="00265B3B">
              <w:t xml:space="preserve">Ekonomické hodnocení bylo zpracováno v rámci </w:t>
            </w:r>
            <w:r w:rsidR="0085750C" w:rsidRPr="00265B3B">
              <w:t xml:space="preserve">schválené </w:t>
            </w:r>
            <w:r w:rsidR="00AE76C4" w:rsidRPr="00265B3B">
              <w:t xml:space="preserve">Studie proveditelnosti trati Kralupy nad Vltavou – Neratovice – Dřísy (SUDOP Praha a.s., 2021). </w:t>
            </w:r>
            <w:r w:rsidR="0085750C" w:rsidRPr="00265B3B">
              <w:t>Vzhledem ke</w:t>
            </w:r>
            <w:r w:rsidR="00AE76C4" w:rsidRPr="00265B3B">
              <w:t xml:space="preserve"> změn</w:t>
            </w:r>
            <w:r w:rsidR="0085750C" w:rsidRPr="00265B3B">
              <w:t>ám, které nastaly</w:t>
            </w:r>
            <w:r w:rsidR="00AE76C4" w:rsidRPr="00265B3B">
              <w:t xml:space="preserve"> v oblasti zpracování ekonomického hodnocení (vydání aktualizace </w:t>
            </w:r>
            <w:r w:rsidRPr="00265B3B">
              <w:t xml:space="preserve">Rezortní </w:t>
            </w:r>
            <w:r w:rsidR="00AE76C4" w:rsidRPr="00265B3B">
              <w:t>metodiky v roce 2023)</w:t>
            </w:r>
            <w:r w:rsidR="0085750C" w:rsidRPr="00265B3B">
              <w:t>, bylo ekonomické hodnocení ze SP aktualizováno</w:t>
            </w:r>
            <w:r w:rsidR="00AE76C4" w:rsidRPr="00265B3B">
              <w:t xml:space="preserve">. </w:t>
            </w:r>
            <w:bookmarkStart w:id="3" w:name="_Hlk159575231"/>
          </w:p>
          <w:p w14:paraId="03CC4E8B" w14:textId="58B4BA9D" w:rsidR="00AE76C4" w:rsidRPr="00265B3B" w:rsidRDefault="0085750C" w:rsidP="00183828">
            <w:pPr>
              <w:spacing w:line="240" w:lineRule="auto"/>
            </w:pPr>
            <w:bookmarkStart w:id="4" w:name="_Hlk160008040"/>
            <w:r w:rsidRPr="00265B3B">
              <w:lastRenderedPageBreak/>
              <w:t>Předmětem přílohy C je tak aktualizace ekonomického hodnocení projektové varianty V1 ze SP.</w:t>
            </w:r>
            <w:r w:rsidR="00AE76C4" w:rsidRPr="00265B3B">
              <w:rPr>
                <w:b/>
                <w:bCs/>
              </w:rPr>
              <w:t xml:space="preserve"> </w:t>
            </w:r>
            <w:bookmarkEnd w:id="3"/>
            <w:r w:rsidR="00AE76C4" w:rsidRPr="00265B3B">
              <w:t xml:space="preserve">Oproti </w:t>
            </w:r>
            <w:r w:rsidRPr="00265B3B">
              <w:t>SP</w:t>
            </w:r>
            <w:r w:rsidR="00AE76C4" w:rsidRPr="00265B3B">
              <w:t xml:space="preserve"> došlo k aktualizaci těchto vstupních údajů:</w:t>
            </w:r>
          </w:p>
          <w:bookmarkEnd w:id="4"/>
          <w:p w14:paraId="4FEDD0EF" w14:textId="6F738F7E" w:rsidR="00AE76C4" w:rsidRPr="00265B3B" w:rsidRDefault="00AE76C4" w:rsidP="00183828">
            <w:pPr>
              <w:numPr>
                <w:ilvl w:val="0"/>
                <w:numId w:val="37"/>
              </w:numPr>
              <w:spacing w:line="240" w:lineRule="auto"/>
              <w:ind w:left="714" w:hanging="357"/>
            </w:pPr>
            <w:r w:rsidRPr="00265B3B">
              <w:t>investiční a provozní náklady železniční infrastruktury (přepočet dle „Sborník pro oceňování železničních staveb ve stupni studie“ z roku 2024),</w:t>
            </w:r>
          </w:p>
          <w:p w14:paraId="717541A1" w14:textId="77777777" w:rsidR="00AE76C4" w:rsidRPr="00265B3B" w:rsidRDefault="00AE76C4" w:rsidP="00183828">
            <w:pPr>
              <w:numPr>
                <w:ilvl w:val="0"/>
                <w:numId w:val="37"/>
              </w:numPr>
              <w:spacing w:line="240" w:lineRule="auto"/>
              <w:ind w:left="714" w:hanging="357"/>
            </w:pPr>
            <w:bookmarkStart w:id="5" w:name="_Hlk160008633"/>
            <w:r w:rsidRPr="00265B3B">
              <w:t>osobní doprava – vnímaná cestovní doba,</w:t>
            </w:r>
          </w:p>
          <w:bookmarkEnd w:id="5"/>
          <w:p w14:paraId="3A63B167" w14:textId="77777777" w:rsidR="00AE76C4" w:rsidRPr="00265B3B" w:rsidRDefault="00AE76C4" w:rsidP="00183828">
            <w:pPr>
              <w:numPr>
                <w:ilvl w:val="0"/>
                <w:numId w:val="37"/>
              </w:numPr>
              <w:spacing w:line="240" w:lineRule="auto"/>
              <w:ind w:left="714" w:hanging="357"/>
            </w:pPr>
            <w:r w:rsidRPr="00265B3B">
              <w:t>cenová úroveň – přepočet na cenovou úroveň roku 2024,</w:t>
            </w:r>
          </w:p>
          <w:p w14:paraId="1D999642" w14:textId="77777777" w:rsidR="00AE76C4" w:rsidRPr="00265B3B" w:rsidRDefault="00AE76C4" w:rsidP="00183828">
            <w:pPr>
              <w:numPr>
                <w:ilvl w:val="0"/>
                <w:numId w:val="37"/>
              </w:numPr>
              <w:spacing w:line="240" w:lineRule="auto"/>
              <w:ind w:left="714" w:hanging="357"/>
            </w:pPr>
            <w:r w:rsidRPr="00265B3B">
              <w:t>nové ohodnocení všech sledovaných finančních toků vstupujících do hodnocení včetně makroekonomických ukazatelů dle aktualizace Rezortní metodiky,</w:t>
            </w:r>
          </w:p>
          <w:p w14:paraId="282633A6" w14:textId="77777777" w:rsidR="00AE76C4" w:rsidRPr="00265B3B" w:rsidRDefault="00AE76C4" w:rsidP="00183828">
            <w:pPr>
              <w:numPr>
                <w:ilvl w:val="0"/>
                <w:numId w:val="37"/>
              </w:numPr>
              <w:spacing w:line="240" w:lineRule="auto"/>
              <w:ind w:left="714" w:hanging="357"/>
            </w:pPr>
            <w:r w:rsidRPr="00265B3B">
              <w:t>nová diskontní sazba u finanční i ekonomické analýzy rovněž dle aktualizace Rezortní metodiky.</w:t>
            </w:r>
          </w:p>
          <w:p w14:paraId="5C9840B1" w14:textId="3DB6D143" w:rsidR="00AE76C4" w:rsidRPr="00265B3B" w:rsidRDefault="00AE76C4" w:rsidP="00183828">
            <w:pPr>
              <w:spacing w:line="240" w:lineRule="auto"/>
            </w:pPr>
            <w:r w:rsidRPr="00265B3B">
              <w:t>Ostatní předpoklady byly převzaty ze schválené SP. Přepočet je proveden v aktualizované verzi CBA tabulek (verze 1.12).</w:t>
            </w:r>
          </w:p>
          <w:p w14:paraId="43042E71" w14:textId="6FDE492A" w:rsidR="00CB2EC2" w:rsidRPr="00265B3B" w:rsidRDefault="00AE76C4" w:rsidP="00183828">
            <w:pPr>
              <w:spacing w:line="240" w:lineRule="auto"/>
            </w:pPr>
            <w:r w:rsidRPr="00265B3B">
              <w:t>V následující tabulce jsou uvedeny výsledky zpracované finanční a ekonomické analýzy</w:t>
            </w:r>
            <w:r w:rsidR="00CB2EC2">
              <w:t xml:space="preserve"> pro projektovou variantu V1</w:t>
            </w:r>
            <w:r w:rsidRPr="00265B3B">
              <w:t xml:space="preserve"> (CÚ 2024).</w:t>
            </w:r>
          </w:p>
          <w:tbl>
            <w:tblPr>
              <w:tblStyle w:val="Mkatabulky"/>
              <w:tblW w:w="0" w:type="auto"/>
              <w:tblInd w:w="1621" w:type="dxa"/>
              <w:tblLook w:val="04A0" w:firstRow="1" w:lastRow="0" w:firstColumn="1" w:lastColumn="0" w:noHBand="0" w:noVBand="1"/>
            </w:tblPr>
            <w:tblGrid>
              <w:gridCol w:w="2552"/>
              <w:gridCol w:w="2268"/>
            </w:tblGrid>
            <w:tr w:rsidR="00F62AFB" w14:paraId="2E60387B" w14:textId="77777777" w:rsidTr="00E2663B">
              <w:tc>
                <w:tcPr>
                  <w:tcW w:w="4820" w:type="dxa"/>
                  <w:gridSpan w:val="2"/>
                  <w:vAlign w:val="center"/>
                </w:tcPr>
                <w:p w14:paraId="2BA9DBC1" w14:textId="2111DEDB" w:rsidR="00F62AFB" w:rsidRPr="00CB2EC2" w:rsidRDefault="00F62AFB" w:rsidP="00CB2EC2">
                  <w:pPr>
                    <w:spacing w:before="60" w:after="60"/>
                    <w:jc w:val="left"/>
                  </w:pPr>
                  <w:r w:rsidRPr="00CB2EC2">
                    <w:rPr>
                      <w:b/>
                      <w:bCs/>
                    </w:rPr>
                    <w:t>Finanční analýza</w:t>
                  </w:r>
                </w:p>
              </w:tc>
            </w:tr>
            <w:tr w:rsidR="00CB2EC2" w14:paraId="10427751" w14:textId="77777777" w:rsidTr="00F62AFB">
              <w:tc>
                <w:tcPr>
                  <w:tcW w:w="2552" w:type="dxa"/>
                  <w:vAlign w:val="center"/>
                </w:tcPr>
                <w:p w14:paraId="3C639775" w14:textId="2B030FBF" w:rsidR="00CB2EC2" w:rsidRPr="00CB2EC2" w:rsidRDefault="00CB2EC2" w:rsidP="00CB2EC2">
                  <w:pPr>
                    <w:spacing w:before="60" w:after="60"/>
                    <w:jc w:val="left"/>
                  </w:pPr>
                  <w:r w:rsidRPr="00CB2EC2">
                    <w:t>FRR [%]</w:t>
                  </w:r>
                </w:p>
              </w:tc>
              <w:tc>
                <w:tcPr>
                  <w:tcW w:w="2268" w:type="dxa"/>
                  <w:vAlign w:val="center"/>
                </w:tcPr>
                <w:p w14:paraId="53B63600" w14:textId="0DDC59C5" w:rsidR="00CB2EC2" w:rsidRPr="00CB2EC2" w:rsidRDefault="00CB2EC2" w:rsidP="00CB2EC2">
                  <w:pPr>
                    <w:spacing w:before="60" w:after="60"/>
                    <w:jc w:val="left"/>
                  </w:pPr>
                  <w:r>
                    <w:t>nelze nalézt</w:t>
                  </w:r>
                </w:p>
              </w:tc>
            </w:tr>
            <w:tr w:rsidR="00CB2EC2" w14:paraId="58385961" w14:textId="77777777" w:rsidTr="00F62AFB">
              <w:tc>
                <w:tcPr>
                  <w:tcW w:w="2552" w:type="dxa"/>
                  <w:vAlign w:val="center"/>
                </w:tcPr>
                <w:p w14:paraId="60E825AE" w14:textId="4E48A286" w:rsidR="00CB2EC2" w:rsidRPr="00CB2EC2" w:rsidRDefault="00CB2EC2" w:rsidP="00CB2EC2">
                  <w:pPr>
                    <w:spacing w:before="60" w:after="60"/>
                    <w:jc w:val="left"/>
                  </w:pPr>
                  <w:r w:rsidRPr="00CB2EC2">
                    <w:t>FNPV [tis. Kč]</w:t>
                  </w:r>
                </w:p>
              </w:tc>
              <w:tc>
                <w:tcPr>
                  <w:tcW w:w="2268" w:type="dxa"/>
                  <w:vAlign w:val="center"/>
                </w:tcPr>
                <w:p w14:paraId="44FA7A73" w14:textId="44B8C086" w:rsidR="00CB2EC2" w:rsidRPr="00CB2EC2" w:rsidRDefault="00CB2EC2" w:rsidP="00CB2EC2">
                  <w:pPr>
                    <w:spacing w:before="60" w:after="60"/>
                    <w:jc w:val="left"/>
                  </w:pPr>
                  <w:r>
                    <w:t>-2 812 464</w:t>
                  </w:r>
                </w:p>
              </w:tc>
            </w:tr>
            <w:tr w:rsidR="00F62AFB" w14:paraId="7CD12B28" w14:textId="77777777" w:rsidTr="00EA458E">
              <w:tc>
                <w:tcPr>
                  <w:tcW w:w="4820" w:type="dxa"/>
                  <w:gridSpan w:val="2"/>
                  <w:vAlign w:val="center"/>
                </w:tcPr>
                <w:p w14:paraId="4B3CF6B4" w14:textId="2C322171" w:rsidR="00F62AFB" w:rsidRPr="00CB2EC2" w:rsidRDefault="00F62AFB" w:rsidP="00CB2EC2">
                  <w:pPr>
                    <w:spacing w:before="60" w:after="60"/>
                    <w:jc w:val="left"/>
                  </w:pPr>
                  <w:r w:rsidRPr="00CB2EC2">
                    <w:rPr>
                      <w:b/>
                      <w:bCs/>
                    </w:rPr>
                    <w:t>Ekonomická analýza</w:t>
                  </w:r>
                </w:p>
              </w:tc>
            </w:tr>
            <w:tr w:rsidR="00CB2EC2" w14:paraId="0137C947" w14:textId="77777777" w:rsidTr="00F62AFB">
              <w:tc>
                <w:tcPr>
                  <w:tcW w:w="2552" w:type="dxa"/>
                  <w:vAlign w:val="center"/>
                </w:tcPr>
                <w:p w14:paraId="7F71A094" w14:textId="1BB0D908" w:rsidR="00CB2EC2" w:rsidRPr="00CB2EC2" w:rsidRDefault="00CB2EC2" w:rsidP="00CB2EC2">
                  <w:pPr>
                    <w:spacing w:before="60" w:after="60"/>
                    <w:jc w:val="left"/>
                  </w:pPr>
                  <w:r w:rsidRPr="00CB2EC2">
                    <w:t>ERR [%]</w:t>
                  </w:r>
                </w:p>
              </w:tc>
              <w:tc>
                <w:tcPr>
                  <w:tcW w:w="2268" w:type="dxa"/>
                  <w:vAlign w:val="center"/>
                </w:tcPr>
                <w:p w14:paraId="452A4221" w14:textId="540A3BCB" w:rsidR="00CB2EC2" w:rsidRPr="00CB2EC2" w:rsidRDefault="00CB2EC2" w:rsidP="00CB2EC2">
                  <w:pPr>
                    <w:spacing w:before="60" w:after="60"/>
                    <w:jc w:val="left"/>
                  </w:pPr>
                  <w:r>
                    <w:t>8,57</w:t>
                  </w:r>
                </w:p>
              </w:tc>
            </w:tr>
            <w:tr w:rsidR="00CB2EC2" w14:paraId="1DB2C1FD" w14:textId="77777777" w:rsidTr="00F62AFB">
              <w:tc>
                <w:tcPr>
                  <w:tcW w:w="2552" w:type="dxa"/>
                  <w:vAlign w:val="center"/>
                </w:tcPr>
                <w:p w14:paraId="22348461" w14:textId="69234A49" w:rsidR="00CB2EC2" w:rsidRPr="00CB2EC2" w:rsidRDefault="00CB2EC2" w:rsidP="00CB2EC2">
                  <w:pPr>
                    <w:spacing w:before="60" w:after="60"/>
                    <w:jc w:val="left"/>
                  </w:pPr>
                  <w:r w:rsidRPr="00CB2EC2">
                    <w:t>ENPV [tis. Kč]</w:t>
                  </w:r>
                </w:p>
              </w:tc>
              <w:tc>
                <w:tcPr>
                  <w:tcW w:w="2268" w:type="dxa"/>
                  <w:vAlign w:val="center"/>
                </w:tcPr>
                <w:p w14:paraId="53C73E6D" w14:textId="71BE867A" w:rsidR="00CB2EC2" w:rsidRPr="00CB2EC2" w:rsidRDefault="00CB2EC2" w:rsidP="00CB2EC2">
                  <w:pPr>
                    <w:spacing w:before="60" w:after="60"/>
                    <w:jc w:val="left"/>
                  </w:pPr>
                  <w:r>
                    <w:t>2 659 667</w:t>
                  </w:r>
                </w:p>
              </w:tc>
            </w:tr>
            <w:tr w:rsidR="00CB2EC2" w14:paraId="2BABCA3F" w14:textId="77777777" w:rsidTr="00F62AFB">
              <w:tc>
                <w:tcPr>
                  <w:tcW w:w="2552" w:type="dxa"/>
                  <w:vAlign w:val="center"/>
                </w:tcPr>
                <w:p w14:paraId="734BF5C5" w14:textId="1ECB7761" w:rsidR="00CB2EC2" w:rsidRPr="00CB2EC2" w:rsidRDefault="00CB2EC2" w:rsidP="00CB2EC2">
                  <w:pPr>
                    <w:spacing w:before="60" w:after="60"/>
                    <w:jc w:val="left"/>
                  </w:pPr>
                  <w:r w:rsidRPr="00CB2EC2">
                    <w:t>B</w:t>
                  </w:r>
                  <w:r w:rsidR="00F62AFB">
                    <w:t>CR</w:t>
                  </w:r>
                </w:p>
              </w:tc>
              <w:tc>
                <w:tcPr>
                  <w:tcW w:w="2268" w:type="dxa"/>
                  <w:vAlign w:val="center"/>
                </w:tcPr>
                <w:p w14:paraId="4420716A" w14:textId="24A6E854" w:rsidR="00CB2EC2" w:rsidRPr="00CB2EC2" w:rsidRDefault="00CB2EC2" w:rsidP="00CB2EC2">
                  <w:pPr>
                    <w:spacing w:before="60" w:after="60"/>
                    <w:jc w:val="left"/>
                  </w:pPr>
                  <w:r>
                    <w:t>1,723</w:t>
                  </w:r>
                </w:p>
              </w:tc>
            </w:tr>
          </w:tbl>
          <w:p w14:paraId="313A27F5" w14:textId="2F6C8895" w:rsidR="002A2ED1" w:rsidRPr="00AE76C4" w:rsidRDefault="002A2ED1" w:rsidP="00183828">
            <w:pPr>
              <w:spacing w:line="240" w:lineRule="auto"/>
              <w:rPr>
                <w:color w:val="FF0000"/>
              </w:rPr>
            </w:pPr>
          </w:p>
          <w:p w14:paraId="1F1BA2AB" w14:textId="058C3C85" w:rsidR="002A2ED1" w:rsidRDefault="00F62AFB" w:rsidP="00183828">
            <w:pPr>
              <w:spacing w:line="240" w:lineRule="auto"/>
            </w:pPr>
            <w:r>
              <w:t>Pro kritické proměnné byly v ekonomické analýze stanoveny tzv. přepínací hodnoty, tedy hodnoty změny kritické proměnné, při které jsou ekonomické ukazatele projektu na hranici efektivnosti.</w:t>
            </w:r>
          </w:p>
          <w:tbl>
            <w:tblPr>
              <w:tblStyle w:val="Mkatabulky"/>
              <w:tblW w:w="0" w:type="auto"/>
              <w:tblInd w:w="1621" w:type="dxa"/>
              <w:tblLook w:val="04A0" w:firstRow="1" w:lastRow="0" w:firstColumn="1" w:lastColumn="0" w:noHBand="0" w:noVBand="1"/>
            </w:tblPr>
            <w:tblGrid>
              <w:gridCol w:w="2552"/>
              <w:gridCol w:w="2268"/>
            </w:tblGrid>
            <w:tr w:rsidR="00F62AFB" w:rsidRPr="00CB2EC2" w14:paraId="13E918E2" w14:textId="77777777" w:rsidTr="00F62AFB">
              <w:tc>
                <w:tcPr>
                  <w:tcW w:w="2552" w:type="dxa"/>
                  <w:vAlign w:val="center"/>
                </w:tcPr>
                <w:p w14:paraId="567CA257" w14:textId="248B6E76" w:rsidR="00F62AFB" w:rsidRPr="00F62AFB" w:rsidRDefault="00F62AFB" w:rsidP="00F62AFB">
                  <w:pPr>
                    <w:spacing w:before="60" w:after="60"/>
                    <w:jc w:val="left"/>
                    <w:rPr>
                      <w:b/>
                      <w:bCs/>
                    </w:rPr>
                  </w:pPr>
                  <w:r w:rsidRPr="00F62AFB">
                    <w:rPr>
                      <w:b/>
                      <w:bCs/>
                    </w:rPr>
                    <w:t>Proměnná</w:t>
                  </w:r>
                </w:p>
              </w:tc>
              <w:tc>
                <w:tcPr>
                  <w:tcW w:w="2268" w:type="dxa"/>
                  <w:vAlign w:val="center"/>
                </w:tcPr>
                <w:p w14:paraId="066CB85A" w14:textId="35F00D56" w:rsidR="00F62AFB" w:rsidRPr="00F62AFB" w:rsidRDefault="00F62AFB" w:rsidP="00F62AFB">
                  <w:pPr>
                    <w:spacing w:before="60" w:after="60"/>
                    <w:jc w:val="left"/>
                    <w:rPr>
                      <w:b/>
                      <w:bCs/>
                    </w:rPr>
                  </w:pPr>
                  <w:r w:rsidRPr="00F62AFB">
                    <w:rPr>
                      <w:b/>
                      <w:bCs/>
                    </w:rPr>
                    <w:t>Přepínací hodnota</w:t>
                  </w:r>
                </w:p>
              </w:tc>
            </w:tr>
            <w:tr w:rsidR="00F62AFB" w:rsidRPr="00CB2EC2" w14:paraId="73DAA1AC" w14:textId="77777777" w:rsidTr="00F62AFB">
              <w:tc>
                <w:tcPr>
                  <w:tcW w:w="2552" w:type="dxa"/>
                  <w:vAlign w:val="center"/>
                </w:tcPr>
                <w:p w14:paraId="706C54D0" w14:textId="0055FAED" w:rsidR="00F62AFB" w:rsidRPr="00CB2EC2" w:rsidRDefault="00F62AFB" w:rsidP="00F62AFB">
                  <w:pPr>
                    <w:spacing w:before="60" w:after="60"/>
                    <w:jc w:val="left"/>
                  </w:pPr>
                  <w:r>
                    <w:t>Investiční náklady</w:t>
                  </w:r>
                </w:p>
              </w:tc>
              <w:tc>
                <w:tcPr>
                  <w:tcW w:w="2268" w:type="dxa"/>
                  <w:vAlign w:val="center"/>
                </w:tcPr>
                <w:p w14:paraId="06FEB10B" w14:textId="49179104" w:rsidR="00F62AFB" w:rsidRPr="00CB2EC2" w:rsidRDefault="00F62AFB" w:rsidP="00F62AFB">
                  <w:pPr>
                    <w:spacing w:before="60" w:after="60"/>
                    <w:jc w:val="left"/>
                  </w:pPr>
                  <w:r>
                    <w:t>72,34 %</w:t>
                  </w:r>
                </w:p>
              </w:tc>
            </w:tr>
            <w:tr w:rsidR="00F62AFB" w:rsidRPr="00CB2EC2" w14:paraId="7A2DB6B9" w14:textId="77777777" w:rsidTr="00F62AFB">
              <w:tc>
                <w:tcPr>
                  <w:tcW w:w="2552" w:type="dxa"/>
                  <w:vAlign w:val="center"/>
                </w:tcPr>
                <w:p w14:paraId="257949E8" w14:textId="5CBDB0E6" w:rsidR="00F62AFB" w:rsidRPr="00CB2EC2" w:rsidRDefault="00F62AFB" w:rsidP="00F62AFB">
                  <w:pPr>
                    <w:spacing w:before="60" w:after="60"/>
                    <w:jc w:val="left"/>
                  </w:pPr>
                  <w:r>
                    <w:t>Výkony nákladní dopravy</w:t>
                  </w:r>
                </w:p>
              </w:tc>
              <w:tc>
                <w:tcPr>
                  <w:tcW w:w="2268" w:type="dxa"/>
                  <w:vAlign w:val="center"/>
                </w:tcPr>
                <w:p w14:paraId="39151E07" w14:textId="15B74802" w:rsidR="00F62AFB" w:rsidRPr="00CB2EC2" w:rsidRDefault="00F62AFB" w:rsidP="00F62AFB">
                  <w:pPr>
                    <w:spacing w:before="60" w:after="60"/>
                    <w:jc w:val="left"/>
                  </w:pPr>
                  <w:r>
                    <w:t>-67,32 %</w:t>
                  </w:r>
                </w:p>
              </w:tc>
            </w:tr>
          </w:tbl>
          <w:p w14:paraId="72FFD130" w14:textId="77777777" w:rsidR="00F62AFB" w:rsidRDefault="00F62AFB" w:rsidP="00183828">
            <w:pPr>
              <w:spacing w:line="240" w:lineRule="auto"/>
            </w:pPr>
          </w:p>
          <w:p w14:paraId="35DB6883" w14:textId="2DFFB9C2" w:rsidR="00C47656" w:rsidRPr="00AE76C4" w:rsidRDefault="00756B68" w:rsidP="00183828">
            <w:pPr>
              <w:spacing w:line="240" w:lineRule="auto"/>
            </w:pPr>
            <w:r w:rsidRPr="00756B68">
              <w:t>Z analýzy přepínací</w:t>
            </w:r>
            <w:r w:rsidR="00127C40">
              <w:t>ch</w:t>
            </w:r>
            <w:r w:rsidRPr="00756B68">
              <w:t xml:space="preserve"> hodnot vyplývá, že základní výsledky hodnocení jsou vysoko nad hranicí ekonomické efektivity, přepínací hodnoty kritických proměnných jsou 67 % a více.</w:t>
            </w:r>
            <w:r>
              <w:t xml:space="preserve"> K</w:t>
            </w:r>
            <w:r w:rsidRPr="00756B68">
              <w:t>romě klasické přepínací hodnoty</w:t>
            </w:r>
            <w:r>
              <w:t xml:space="preserve"> byla</w:t>
            </w:r>
            <w:r w:rsidRPr="00756B68">
              <w:t xml:space="preserve"> vypočtena i přepínací hodnota pro investiční náklady při </w:t>
            </w:r>
            <w:r>
              <w:t>diskontní sazbě</w:t>
            </w:r>
            <w:r w:rsidRPr="00756B68">
              <w:t xml:space="preserve"> 5</w:t>
            </w:r>
            <w:r>
              <w:t xml:space="preserve"> </w:t>
            </w:r>
            <w:r w:rsidRPr="00756B68">
              <w:t>%. Z výpočtu pro sledovanou variantu vychází pak přepínací hodnota pro investiční náklady na výši 36,5</w:t>
            </w:r>
            <w:r>
              <w:t> </w:t>
            </w:r>
            <w:r w:rsidRPr="00756B68">
              <w:t>% při zachování výše diskontní sazby.</w:t>
            </w:r>
          </w:p>
        </w:tc>
      </w:tr>
    </w:tbl>
    <w:p w14:paraId="0FC4808A" w14:textId="77777777" w:rsidR="00C47656" w:rsidRPr="002A2ED1" w:rsidRDefault="00C47656" w:rsidP="00647755"/>
    <w:p w14:paraId="494D6462" w14:textId="77777777" w:rsidR="000A46A2" w:rsidRPr="002250D8" w:rsidRDefault="000A46A2" w:rsidP="000A46A2">
      <w:pPr>
        <w:pStyle w:val="Nadpis2"/>
      </w:pPr>
      <w:r>
        <w:lastRenderedPageBreak/>
        <w:t>Rozpis nákladů</w:t>
      </w:r>
    </w:p>
    <w:tbl>
      <w:tblPr>
        <w:tblStyle w:val="Style1"/>
        <w:tblW w:w="5000" w:type="pct"/>
        <w:tblLook w:val="04A0" w:firstRow="1" w:lastRow="0" w:firstColumn="1" w:lastColumn="0" w:noHBand="0" w:noVBand="1"/>
      </w:tblPr>
      <w:tblGrid>
        <w:gridCol w:w="777"/>
        <w:gridCol w:w="3471"/>
        <w:gridCol w:w="2340"/>
        <w:gridCol w:w="2474"/>
      </w:tblGrid>
      <w:tr w:rsidR="000A46A2" w:rsidRPr="002C75DD" w14:paraId="586AB9F2" w14:textId="77777777" w:rsidTr="3A247BF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000" w:type="pct"/>
            <w:gridSpan w:val="4"/>
            <w:tcBorders>
              <w:bottom w:val="single" w:sz="12" w:space="0" w:color="auto"/>
            </w:tcBorders>
            <w:shd w:val="clear" w:color="auto" w:fill="BDD6EE" w:themeFill="accent1" w:themeFillTint="66"/>
          </w:tcPr>
          <w:p w14:paraId="3910E695" w14:textId="77777777" w:rsidR="000A46A2" w:rsidRPr="002C75DD" w:rsidRDefault="000A46A2" w:rsidP="00585F07">
            <w:pPr>
              <w:rPr>
                <w:rFonts w:asciiTheme="minorHAnsi" w:eastAsia="Arial" w:hAnsiTheme="minorHAnsi" w:cstheme="minorHAnsi"/>
                <w:sz w:val="22"/>
                <w:szCs w:val="22"/>
              </w:rPr>
            </w:pPr>
            <w:r>
              <w:rPr>
                <w:rFonts w:asciiTheme="minorHAnsi" w:eastAsia="Arial" w:hAnsiTheme="minorHAnsi" w:cstheme="minorHAnsi"/>
                <w:sz w:val="22"/>
                <w:szCs w:val="22"/>
              </w:rPr>
              <w:t>Rozpis nákladů</w:t>
            </w:r>
          </w:p>
        </w:tc>
      </w:tr>
      <w:tr w:rsidR="000A46A2" w:rsidRPr="002C75DD" w14:paraId="31FD2221" w14:textId="77777777" w:rsidTr="3A247BF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29" w:type="pct"/>
            <w:tcBorders>
              <w:bottom w:val="single" w:sz="12" w:space="0" w:color="auto"/>
            </w:tcBorders>
            <w:shd w:val="clear" w:color="auto" w:fill="BDD6EE" w:themeFill="accent1" w:themeFillTint="66"/>
          </w:tcPr>
          <w:p w14:paraId="116C4E43" w14:textId="77777777" w:rsidR="000A46A2" w:rsidRDefault="000A46A2" w:rsidP="00585F07">
            <w:pPr>
              <w:rPr>
                <w:rFonts w:eastAsia="Arial" w:cstheme="minorHAnsi"/>
              </w:rPr>
            </w:pPr>
            <w:proofErr w:type="spellStart"/>
            <w:r>
              <w:rPr>
                <w:rFonts w:asciiTheme="minorHAnsi" w:eastAsia="Arial" w:hAnsiTheme="minorHAnsi" w:cstheme="minorHAnsi"/>
                <w:sz w:val="22"/>
                <w:szCs w:val="22"/>
              </w:rPr>
              <w:t>p.č</w:t>
            </w:r>
            <w:proofErr w:type="spellEnd"/>
            <w:r>
              <w:rPr>
                <w:rFonts w:asciiTheme="minorHAnsi" w:eastAsia="Arial" w:hAnsiTheme="minorHAnsi" w:cstheme="minorHAnsi"/>
                <w:sz w:val="22"/>
                <w:szCs w:val="22"/>
              </w:rPr>
              <w:t>.</w:t>
            </w:r>
          </w:p>
        </w:tc>
        <w:tc>
          <w:tcPr>
            <w:tcW w:w="1915" w:type="pct"/>
            <w:tcBorders>
              <w:bottom w:val="single" w:sz="12" w:space="0" w:color="auto"/>
            </w:tcBorders>
            <w:shd w:val="clear" w:color="auto" w:fill="BDD6EE" w:themeFill="accent1" w:themeFillTint="66"/>
          </w:tcPr>
          <w:p w14:paraId="03030F8C" w14:textId="77777777" w:rsidR="000A46A2" w:rsidRDefault="000A46A2" w:rsidP="00585F07">
            <w:pPr>
              <w:cnfStyle w:val="100000000000" w:firstRow="1" w:lastRow="0" w:firstColumn="0" w:lastColumn="0" w:oddVBand="0" w:evenVBand="0" w:oddHBand="0" w:evenHBand="0" w:firstRowFirstColumn="0" w:firstRowLastColumn="0" w:lastRowFirstColumn="0" w:lastRowLastColumn="0"/>
              <w:rPr>
                <w:rFonts w:eastAsia="Cambria Math" w:cstheme="minorHAnsi"/>
              </w:rPr>
            </w:pPr>
            <w:r>
              <w:rPr>
                <w:rFonts w:asciiTheme="minorHAnsi" w:eastAsia="Cambria Math" w:hAnsiTheme="minorHAnsi" w:cstheme="minorHAnsi"/>
                <w:sz w:val="22"/>
                <w:szCs w:val="22"/>
              </w:rPr>
              <w:t>Popis položky</w:t>
            </w:r>
          </w:p>
        </w:tc>
        <w:tc>
          <w:tcPr>
            <w:tcW w:w="1291" w:type="pct"/>
            <w:tcBorders>
              <w:bottom w:val="single" w:sz="12" w:space="0" w:color="auto"/>
            </w:tcBorders>
            <w:shd w:val="clear" w:color="auto" w:fill="BDD6EE" w:themeFill="accent1" w:themeFillTint="66"/>
          </w:tcPr>
          <w:p w14:paraId="277831F9" w14:textId="77777777" w:rsidR="000A46A2" w:rsidRDefault="000A46A2" w:rsidP="00585F07">
            <w:pPr>
              <w:cnfStyle w:val="100000000000" w:firstRow="1" w:lastRow="0" w:firstColumn="0" w:lastColumn="0" w:oddVBand="0" w:evenVBand="0" w:oddHBand="0" w:evenHBand="0" w:firstRowFirstColumn="0" w:firstRowLastColumn="0" w:lastRowFirstColumn="0" w:lastRowLastColumn="0"/>
              <w:rPr>
                <w:rFonts w:eastAsia="Cambria Math" w:cstheme="minorHAnsi"/>
              </w:rPr>
            </w:pPr>
            <w:r>
              <w:rPr>
                <w:rFonts w:asciiTheme="minorHAnsi" w:eastAsia="Cambria Math" w:hAnsiTheme="minorHAnsi" w:cstheme="minorHAnsi"/>
                <w:sz w:val="22"/>
                <w:szCs w:val="22"/>
              </w:rPr>
              <w:t>Náklady v tis. Kč</w:t>
            </w:r>
          </w:p>
        </w:tc>
        <w:tc>
          <w:tcPr>
            <w:tcW w:w="1365" w:type="pct"/>
            <w:tcBorders>
              <w:bottom w:val="single" w:sz="12" w:space="0" w:color="auto"/>
            </w:tcBorders>
            <w:shd w:val="clear" w:color="auto" w:fill="BDD6EE" w:themeFill="accent1" w:themeFillTint="66"/>
          </w:tcPr>
          <w:p w14:paraId="4921D535" w14:textId="77777777" w:rsidR="000A46A2" w:rsidRPr="002C75DD" w:rsidRDefault="000A46A2" w:rsidP="00585F07">
            <w:pPr>
              <w:cnfStyle w:val="100000000000" w:firstRow="1" w:lastRow="0" w:firstColumn="0" w:lastColumn="0" w:oddVBand="0" w:evenVBand="0" w:oddHBand="0" w:evenHBand="0" w:firstRowFirstColumn="0" w:firstRowLastColumn="0" w:lastRowFirstColumn="0" w:lastRowLastColumn="0"/>
              <w:rPr>
                <w:rFonts w:eastAsia="Arial" w:cstheme="minorHAnsi"/>
              </w:rPr>
            </w:pPr>
            <w:r w:rsidRPr="002C75DD">
              <w:rPr>
                <w:rFonts w:asciiTheme="minorHAnsi" w:eastAsia="Arial" w:hAnsiTheme="minorHAnsi" w:cstheme="minorHAnsi"/>
                <w:sz w:val="22"/>
                <w:szCs w:val="22"/>
              </w:rPr>
              <w:t>Vysvětlení k položce</w:t>
            </w:r>
          </w:p>
        </w:tc>
      </w:tr>
      <w:tr w:rsidR="000A46A2" w:rsidRPr="007311D2" w14:paraId="044EA4AC" w14:textId="77777777" w:rsidTr="3A247B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9" w:type="pct"/>
            <w:shd w:val="clear" w:color="auto" w:fill="F2F2F2" w:themeFill="background1" w:themeFillShade="F2"/>
          </w:tcPr>
          <w:p w14:paraId="57131797" w14:textId="77777777" w:rsidR="000A46A2" w:rsidRPr="007311D2" w:rsidRDefault="000A46A2" w:rsidP="00585F07">
            <w:pPr>
              <w:rPr>
                <w:rFonts w:asciiTheme="minorHAnsi" w:eastAsia="Arial" w:hAnsiTheme="minorHAnsi" w:cstheme="minorHAnsi"/>
                <w:b w:val="0"/>
                <w:bCs w:val="0"/>
                <w:sz w:val="22"/>
                <w:szCs w:val="22"/>
              </w:rPr>
            </w:pPr>
            <w:r>
              <w:rPr>
                <w:rFonts w:asciiTheme="minorHAnsi" w:eastAsia="Arial" w:hAnsiTheme="minorHAnsi" w:cstheme="minorHAnsi"/>
                <w:b w:val="0"/>
                <w:sz w:val="22"/>
                <w:szCs w:val="22"/>
              </w:rPr>
              <w:t>1.</w:t>
            </w:r>
          </w:p>
        </w:tc>
        <w:tc>
          <w:tcPr>
            <w:tcW w:w="1915" w:type="pct"/>
            <w:shd w:val="clear" w:color="auto" w:fill="F2F2F2" w:themeFill="background1" w:themeFillShade="F2"/>
          </w:tcPr>
          <w:p w14:paraId="127CE043" w14:textId="77777777" w:rsidR="000A46A2" w:rsidRPr="007311D2" w:rsidRDefault="000A46A2" w:rsidP="00585F07">
            <w:pPr>
              <w:cnfStyle w:val="000000100000" w:firstRow="0" w:lastRow="0" w:firstColumn="0" w:lastColumn="0" w:oddVBand="0" w:evenVBand="0" w:oddHBand="1" w:evenHBand="0" w:firstRowFirstColumn="0" w:firstRowLastColumn="0" w:lastRowFirstColumn="0" w:lastRowLastColumn="0"/>
              <w:rPr>
                <w:rFonts w:asciiTheme="minorHAnsi" w:eastAsia="Arial" w:hAnsiTheme="minorHAnsi" w:cstheme="minorHAnsi"/>
                <w:sz w:val="22"/>
                <w:szCs w:val="22"/>
              </w:rPr>
            </w:pPr>
            <w:r w:rsidRPr="00F80D88">
              <w:rPr>
                <w:rFonts w:asciiTheme="minorHAnsi" w:eastAsia="Arial" w:hAnsiTheme="minorHAnsi" w:cstheme="minorHAnsi"/>
                <w:sz w:val="22"/>
                <w:szCs w:val="22"/>
              </w:rPr>
              <w:t>Poplatky za plány / stavební projekt</w:t>
            </w:r>
          </w:p>
        </w:tc>
        <w:tc>
          <w:tcPr>
            <w:tcW w:w="1291" w:type="pct"/>
            <w:shd w:val="clear" w:color="auto" w:fill="auto"/>
          </w:tcPr>
          <w:p w14:paraId="5BB42D19" w14:textId="47D00302" w:rsidR="000A46A2" w:rsidRPr="007311D2" w:rsidRDefault="007166CB" w:rsidP="00585F07">
            <w:pPr>
              <w:jc w:val="right"/>
              <w:cnfStyle w:val="000000100000" w:firstRow="0" w:lastRow="0" w:firstColumn="0" w:lastColumn="0" w:oddVBand="0" w:evenVBand="0" w:oddHBand="1" w:evenHBand="0" w:firstRowFirstColumn="0" w:firstRowLastColumn="0" w:lastRowFirstColumn="0" w:lastRowLastColumn="0"/>
              <w:rPr>
                <w:rFonts w:asciiTheme="minorHAnsi" w:eastAsia="Arial" w:hAnsiTheme="minorHAnsi" w:cstheme="minorHAnsi"/>
                <w:sz w:val="22"/>
                <w:szCs w:val="22"/>
              </w:rPr>
            </w:pPr>
            <w:r>
              <w:rPr>
                <w:rFonts w:asciiTheme="minorHAnsi" w:eastAsia="Arial" w:hAnsiTheme="minorHAnsi" w:cstheme="minorHAnsi"/>
                <w:sz w:val="22"/>
                <w:szCs w:val="22"/>
              </w:rPr>
              <w:t>51 881</w:t>
            </w:r>
          </w:p>
        </w:tc>
        <w:tc>
          <w:tcPr>
            <w:tcW w:w="1365" w:type="pct"/>
            <w:shd w:val="clear" w:color="auto" w:fill="auto"/>
          </w:tcPr>
          <w:p w14:paraId="2A331238" w14:textId="77777777" w:rsidR="000A46A2" w:rsidRPr="005652C9" w:rsidRDefault="000A46A2" w:rsidP="00585F07">
            <w:pPr>
              <w:cnfStyle w:val="000000100000" w:firstRow="0" w:lastRow="0" w:firstColumn="0" w:lastColumn="0" w:oddVBand="0" w:evenVBand="0" w:oddHBand="1" w:evenHBand="0" w:firstRowFirstColumn="0" w:firstRowLastColumn="0" w:lastRowFirstColumn="0" w:lastRowLastColumn="0"/>
              <w:rPr>
                <w:rFonts w:asciiTheme="minorHAnsi" w:eastAsia="Arial" w:hAnsiTheme="minorHAnsi" w:cstheme="minorHAnsi"/>
                <w:i/>
                <w:color w:val="FF0000"/>
                <w:sz w:val="22"/>
                <w:szCs w:val="22"/>
              </w:rPr>
            </w:pPr>
          </w:p>
        </w:tc>
      </w:tr>
      <w:tr w:rsidR="000A46A2" w:rsidRPr="007311D2" w14:paraId="26EDAA9B" w14:textId="77777777" w:rsidTr="3A247BFC">
        <w:trPr>
          <w:cantSplit/>
        </w:trPr>
        <w:tc>
          <w:tcPr>
            <w:cnfStyle w:val="001000000000" w:firstRow="0" w:lastRow="0" w:firstColumn="1" w:lastColumn="0" w:oddVBand="0" w:evenVBand="0" w:oddHBand="0" w:evenHBand="0" w:firstRowFirstColumn="0" w:firstRowLastColumn="0" w:lastRowFirstColumn="0" w:lastRowLastColumn="0"/>
            <w:tcW w:w="429" w:type="pct"/>
            <w:shd w:val="clear" w:color="auto" w:fill="F2F2F2" w:themeFill="background1" w:themeFillShade="F2"/>
          </w:tcPr>
          <w:p w14:paraId="5810020C" w14:textId="77777777" w:rsidR="000A46A2" w:rsidRPr="007311D2" w:rsidRDefault="000A46A2" w:rsidP="00585F07">
            <w:pPr>
              <w:rPr>
                <w:rFonts w:asciiTheme="minorHAnsi" w:eastAsia="Arial" w:hAnsiTheme="minorHAnsi" w:cstheme="minorHAnsi"/>
                <w:b w:val="0"/>
                <w:bCs w:val="0"/>
                <w:sz w:val="22"/>
                <w:szCs w:val="22"/>
              </w:rPr>
            </w:pPr>
            <w:r>
              <w:rPr>
                <w:rFonts w:asciiTheme="minorHAnsi" w:eastAsia="Arial" w:hAnsiTheme="minorHAnsi" w:cstheme="minorHAnsi"/>
                <w:b w:val="0"/>
                <w:bCs w:val="0"/>
                <w:sz w:val="22"/>
                <w:szCs w:val="22"/>
              </w:rPr>
              <w:t>2.</w:t>
            </w:r>
          </w:p>
        </w:tc>
        <w:tc>
          <w:tcPr>
            <w:tcW w:w="1915" w:type="pct"/>
            <w:shd w:val="clear" w:color="auto" w:fill="F2F2F2" w:themeFill="background1" w:themeFillShade="F2"/>
          </w:tcPr>
          <w:p w14:paraId="792B5C99" w14:textId="77777777" w:rsidR="000A46A2" w:rsidRPr="007311D2" w:rsidRDefault="000A46A2" w:rsidP="00585F07">
            <w:pPr>
              <w:cnfStyle w:val="000000000000" w:firstRow="0" w:lastRow="0" w:firstColumn="0" w:lastColumn="0" w:oddVBand="0" w:evenVBand="0" w:oddHBand="0" w:evenHBand="0" w:firstRowFirstColumn="0" w:firstRowLastColumn="0" w:lastRowFirstColumn="0" w:lastRowLastColumn="0"/>
              <w:rPr>
                <w:rFonts w:asciiTheme="minorHAnsi" w:eastAsia="Arial" w:hAnsiTheme="minorHAnsi" w:cstheme="minorHAnsi"/>
                <w:sz w:val="22"/>
                <w:szCs w:val="22"/>
              </w:rPr>
            </w:pPr>
            <w:r w:rsidRPr="00F80D88">
              <w:rPr>
                <w:rFonts w:asciiTheme="minorHAnsi" w:eastAsia="Arial" w:hAnsiTheme="minorHAnsi" w:cstheme="minorHAnsi"/>
                <w:sz w:val="22"/>
                <w:szCs w:val="22"/>
              </w:rPr>
              <w:t>Nákup pozemků</w:t>
            </w:r>
          </w:p>
        </w:tc>
        <w:tc>
          <w:tcPr>
            <w:tcW w:w="1291" w:type="pct"/>
            <w:shd w:val="clear" w:color="auto" w:fill="auto"/>
          </w:tcPr>
          <w:p w14:paraId="0F8C5C69" w14:textId="520AC217" w:rsidR="000A46A2" w:rsidRPr="007311D2" w:rsidRDefault="007166CB" w:rsidP="00585F07">
            <w:pPr>
              <w:jc w:val="right"/>
              <w:cnfStyle w:val="000000000000" w:firstRow="0" w:lastRow="0" w:firstColumn="0" w:lastColumn="0" w:oddVBand="0" w:evenVBand="0" w:oddHBand="0" w:evenHBand="0" w:firstRowFirstColumn="0" w:firstRowLastColumn="0" w:lastRowFirstColumn="0" w:lastRowLastColumn="0"/>
              <w:rPr>
                <w:rFonts w:asciiTheme="minorHAnsi" w:eastAsia="Arial" w:hAnsiTheme="minorHAnsi" w:cstheme="minorHAnsi"/>
                <w:sz w:val="22"/>
                <w:szCs w:val="22"/>
              </w:rPr>
            </w:pPr>
            <w:r>
              <w:rPr>
                <w:rFonts w:asciiTheme="minorHAnsi" w:eastAsia="Arial" w:hAnsiTheme="minorHAnsi" w:cstheme="minorHAnsi"/>
                <w:sz w:val="22"/>
                <w:szCs w:val="22"/>
              </w:rPr>
              <w:t>8 250</w:t>
            </w:r>
          </w:p>
        </w:tc>
        <w:tc>
          <w:tcPr>
            <w:tcW w:w="1365" w:type="pct"/>
            <w:shd w:val="clear" w:color="auto" w:fill="auto"/>
          </w:tcPr>
          <w:p w14:paraId="16C1E151" w14:textId="77777777" w:rsidR="000A46A2" w:rsidRPr="005652C9" w:rsidRDefault="000A46A2" w:rsidP="00585F07">
            <w:pPr>
              <w:cnfStyle w:val="000000000000" w:firstRow="0" w:lastRow="0" w:firstColumn="0" w:lastColumn="0" w:oddVBand="0" w:evenVBand="0" w:oddHBand="0" w:evenHBand="0" w:firstRowFirstColumn="0" w:firstRowLastColumn="0" w:lastRowFirstColumn="0" w:lastRowLastColumn="0"/>
              <w:rPr>
                <w:rFonts w:asciiTheme="minorHAnsi" w:eastAsia="Arial" w:hAnsiTheme="minorHAnsi" w:cstheme="minorHAnsi"/>
                <w:i/>
                <w:color w:val="FF0000"/>
                <w:sz w:val="22"/>
                <w:szCs w:val="22"/>
              </w:rPr>
            </w:pPr>
          </w:p>
        </w:tc>
      </w:tr>
      <w:tr w:rsidR="000A46A2" w:rsidRPr="007311D2" w14:paraId="3EF6B683" w14:textId="77777777" w:rsidTr="3A247B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9" w:type="pct"/>
            <w:shd w:val="clear" w:color="auto" w:fill="F2F2F2" w:themeFill="background1" w:themeFillShade="F2"/>
          </w:tcPr>
          <w:p w14:paraId="06B6CF68" w14:textId="77777777" w:rsidR="000A46A2" w:rsidRPr="007311D2" w:rsidRDefault="000A46A2" w:rsidP="00585F07">
            <w:pPr>
              <w:rPr>
                <w:rFonts w:asciiTheme="minorHAnsi" w:eastAsia="Arial" w:hAnsiTheme="minorHAnsi" w:cstheme="minorHAnsi"/>
                <w:b w:val="0"/>
                <w:bCs w:val="0"/>
                <w:sz w:val="22"/>
                <w:szCs w:val="22"/>
              </w:rPr>
            </w:pPr>
            <w:r>
              <w:rPr>
                <w:rFonts w:asciiTheme="minorHAnsi" w:eastAsia="Arial" w:hAnsiTheme="minorHAnsi" w:cstheme="minorHAnsi"/>
                <w:b w:val="0"/>
                <w:bCs w:val="0"/>
                <w:sz w:val="22"/>
                <w:szCs w:val="22"/>
              </w:rPr>
              <w:t>3.</w:t>
            </w:r>
          </w:p>
        </w:tc>
        <w:tc>
          <w:tcPr>
            <w:tcW w:w="1915" w:type="pct"/>
            <w:shd w:val="clear" w:color="auto" w:fill="F2F2F2" w:themeFill="background1" w:themeFillShade="F2"/>
          </w:tcPr>
          <w:p w14:paraId="2E3F8D1E" w14:textId="77777777" w:rsidR="000A46A2" w:rsidRPr="00F80D88" w:rsidRDefault="000A46A2" w:rsidP="00585F07">
            <w:pPr>
              <w:cnfStyle w:val="000000100000" w:firstRow="0" w:lastRow="0" w:firstColumn="0" w:lastColumn="0" w:oddVBand="0" w:evenVBand="0" w:oddHBand="1" w:evenHBand="0" w:firstRowFirstColumn="0" w:firstRowLastColumn="0" w:lastRowFirstColumn="0" w:lastRowLastColumn="0"/>
              <w:rPr>
                <w:rFonts w:asciiTheme="minorHAnsi" w:eastAsia="Arial" w:hAnsiTheme="minorHAnsi" w:cstheme="minorHAnsi"/>
                <w:sz w:val="22"/>
                <w:szCs w:val="22"/>
              </w:rPr>
            </w:pPr>
            <w:r w:rsidRPr="00F80D88">
              <w:rPr>
                <w:rFonts w:asciiTheme="minorHAnsi" w:eastAsia="Arial" w:hAnsiTheme="minorHAnsi" w:cstheme="minorHAnsi"/>
                <w:sz w:val="22"/>
                <w:szCs w:val="22"/>
              </w:rPr>
              <w:t>Výstavba</w:t>
            </w:r>
          </w:p>
        </w:tc>
        <w:tc>
          <w:tcPr>
            <w:tcW w:w="1291" w:type="pct"/>
            <w:shd w:val="clear" w:color="auto" w:fill="auto"/>
          </w:tcPr>
          <w:p w14:paraId="5715848D" w14:textId="5D347E3E" w:rsidR="000A46A2" w:rsidRPr="007311D2" w:rsidRDefault="007166CB" w:rsidP="00585F07">
            <w:pPr>
              <w:jc w:val="right"/>
              <w:cnfStyle w:val="000000100000" w:firstRow="0" w:lastRow="0" w:firstColumn="0" w:lastColumn="0" w:oddVBand="0" w:evenVBand="0" w:oddHBand="1" w:evenHBand="0" w:firstRowFirstColumn="0" w:firstRowLastColumn="0" w:lastRowFirstColumn="0" w:lastRowLastColumn="0"/>
              <w:rPr>
                <w:rFonts w:asciiTheme="minorHAnsi" w:eastAsia="Arial" w:hAnsiTheme="minorHAnsi" w:cstheme="minorHAnsi"/>
                <w:sz w:val="22"/>
                <w:szCs w:val="22"/>
              </w:rPr>
            </w:pPr>
            <w:r>
              <w:rPr>
                <w:rFonts w:asciiTheme="minorHAnsi" w:eastAsia="Arial" w:hAnsiTheme="minorHAnsi" w:cstheme="minorHAnsi"/>
                <w:sz w:val="22"/>
                <w:szCs w:val="22"/>
              </w:rPr>
              <w:t>390 549</w:t>
            </w:r>
          </w:p>
        </w:tc>
        <w:tc>
          <w:tcPr>
            <w:tcW w:w="1365" w:type="pct"/>
            <w:shd w:val="clear" w:color="auto" w:fill="auto"/>
          </w:tcPr>
          <w:p w14:paraId="6F8AE817" w14:textId="77777777" w:rsidR="000A46A2" w:rsidRPr="005652C9" w:rsidRDefault="000A46A2" w:rsidP="00585F07">
            <w:pPr>
              <w:cnfStyle w:val="000000100000" w:firstRow="0" w:lastRow="0" w:firstColumn="0" w:lastColumn="0" w:oddVBand="0" w:evenVBand="0" w:oddHBand="1" w:evenHBand="0" w:firstRowFirstColumn="0" w:firstRowLastColumn="0" w:lastRowFirstColumn="0" w:lastRowLastColumn="0"/>
              <w:rPr>
                <w:rFonts w:asciiTheme="minorHAnsi" w:eastAsia="Arial" w:hAnsiTheme="minorHAnsi" w:cstheme="minorHAnsi"/>
                <w:i/>
                <w:color w:val="FF0000"/>
                <w:sz w:val="22"/>
                <w:szCs w:val="22"/>
              </w:rPr>
            </w:pPr>
          </w:p>
        </w:tc>
      </w:tr>
      <w:tr w:rsidR="000A46A2" w:rsidRPr="007311D2" w14:paraId="360869D0" w14:textId="77777777" w:rsidTr="3A247BFC">
        <w:tc>
          <w:tcPr>
            <w:cnfStyle w:val="001000000000" w:firstRow="0" w:lastRow="0" w:firstColumn="1" w:lastColumn="0" w:oddVBand="0" w:evenVBand="0" w:oddHBand="0" w:evenHBand="0" w:firstRowFirstColumn="0" w:firstRowLastColumn="0" w:lastRowFirstColumn="0" w:lastRowLastColumn="0"/>
            <w:tcW w:w="429" w:type="pct"/>
            <w:shd w:val="clear" w:color="auto" w:fill="F2F2F2" w:themeFill="background1" w:themeFillShade="F2"/>
          </w:tcPr>
          <w:p w14:paraId="19C498AF" w14:textId="77777777" w:rsidR="000A46A2" w:rsidRPr="007311D2" w:rsidRDefault="000A46A2" w:rsidP="00585F07">
            <w:pPr>
              <w:rPr>
                <w:rFonts w:asciiTheme="minorHAnsi" w:eastAsia="Arial" w:hAnsiTheme="minorHAnsi" w:cstheme="minorHAnsi"/>
                <w:b w:val="0"/>
                <w:bCs w:val="0"/>
                <w:sz w:val="22"/>
                <w:szCs w:val="22"/>
              </w:rPr>
            </w:pPr>
            <w:r>
              <w:rPr>
                <w:rFonts w:asciiTheme="minorHAnsi" w:eastAsia="Arial" w:hAnsiTheme="minorHAnsi" w:cstheme="minorHAnsi"/>
                <w:b w:val="0"/>
                <w:bCs w:val="0"/>
                <w:sz w:val="22"/>
                <w:szCs w:val="22"/>
              </w:rPr>
              <w:t>4.</w:t>
            </w:r>
          </w:p>
        </w:tc>
        <w:tc>
          <w:tcPr>
            <w:tcW w:w="1915" w:type="pct"/>
            <w:shd w:val="clear" w:color="auto" w:fill="F2F2F2" w:themeFill="background1" w:themeFillShade="F2"/>
          </w:tcPr>
          <w:p w14:paraId="262223EE" w14:textId="77777777" w:rsidR="000A46A2" w:rsidRPr="00F80D88" w:rsidRDefault="000A46A2" w:rsidP="00585F07">
            <w:pPr>
              <w:cnfStyle w:val="000000000000" w:firstRow="0" w:lastRow="0" w:firstColumn="0" w:lastColumn="0" w:oddVBand="0" w:evenVBand="0" w:oddHBand="0" w:evenHBand="0" w:firstRowFirstColumn="0" w:firstRowLastColumn="0" w:lastRowFirstColumn="0" w:lastRowLastColumn="0"/>
              <w:rPr>
                <w:rFonts w:asciiTheme="minorHAnsi" w:eastAsia="Arial" w:hAnsiTheme="minorHAnsi" w:cstheme="minorHAnsi"/>
                <w:sz w:val="22"/>
                <w:szCs w:val="22"/>
              </w:rPr>
            </w:pPr>
            <w:r w:rsidRPr="00F80D88">
              <w:rPr>
                <w:rFonts w:asciiTheme="minorHAnsi" w:eastAsia="Arial" w:hAnsiTheme="minorHAnsi" w:cstheme="minorHAnsi"/>
                <w:sz w:val="22"/>
                <w:szCs w:val="22"/>
              </w:rPr>
              <w:t>Technologie</w:t>
            </w:r>
          </w:p>
        </w:tc>
        <w:tc>
          <w:tcPr>
            <w:tcW w:w="1291" w:type="pct"/>
            <w:shd w:val="clear" w:color="auto" w:fill="auto"/>
          </w:tcPr>
          <w:p w14:paraId="06C91757" w14:textId="374FCBE2" w:rsidR="000A46A2" w:rsidRPr="007311D2" w:rsidRDefault="007166CB" w:rsidP="00585F07">
            <w:pPr>
              <w:jc w:val="right"/>
              <w:cnfStyle w:val="000000000000" w:firstRow="0" w:lastRow="0" w:firstColumn="0" w:lastColumn="0" w:oddVBand="0" w:evenVBand="0" w:oddHBand="0" w:evenHBand="0" w:firstRowFirstColumn="0" w:firstRowLastColumn="0" w:lastRowFirstColumn="0" w:lastRowLastColumn="0"/>
              <w:rPr>
                <w:rFonts w:asciiTheme="minorHAnsi" w:eastAsia="Arial" w:hAnsiTheme="minorHAnsi" w:cstheme="minorHAnsi"/>
                <w:sz w:val="22"/>
                <w:szCs w:val="22"/>
              </w:rPr>
            </w:pPr>
            <w:r>
              <w:rPr>
                <w:rFonts w:asciiTheme="minorHAnsi" w:eastAsia="Arial" w:hAnsiTheme="minorHAnsi" w:cstheme="minorHAnsi"/>
                <w:sz w:val="22"/>
                <w:szCs w:val="22"/>
              </w:rPr>
              <w:t>134 102</w:t>
            </w:r>
          </w:p>
        </w:tc>
        <w:tc>
          <w:tcPr>
            <w:tcW w:w="1365" w:type="pct"/>
            <w:shd w:val="clear" w:color="auto" w:fill="auto"/>
          </w:tcPr>
          <w:p w14:paraId="6B9108B8" w14:textId="1A648CB8" w:rsidR="000A46A2" w:rsidRPr="005652C9" w:rsidRDefault="000A46A2" w:rsidP="3A247BFC">
            <w:pPr>
              <w:cnfStyle w:val="000000000000" w:firstRow="0" w:lastRow="0" w:firstColumn="0" w:lastColumn="0" w:oddVBand="0" w:evenVBand="0" w:oddHBand="0" w:evenHBand="0" w:firstRowFirstColumn="0" w:firstRowLastColumn="0" w:lastRowFirstColumn="0" w:lastRowLastColumn="0"/>
              <w:rPr>
                <w:rFonts w:asciiTheme="minorHAnsi" w:eastAsia="Arial" w:hAnsiTheme="minorHAnsi" w:cstheme="minorBidi"/>
                <w:i/>
                <w:iCs/>
                <w:color w:val="FF0000"/>
                <w:sz w:val="22"/>
                <w:szCs w:val="22"/>
              </w:rPr>
            </w:pPr>
          </w:p>
        </w:tc>
      </w:tr>
      <w:tr w:rsidR="000A46A2" w:rsidRPr="007311D2" w14:paraId="467E49F2" w14:textId="77777777" w:rsidTr="3A247B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9" w:type="pct"/>
            <w:shd w:val="clear" w:color="auto" w:fill="F2F2F2" w:themeFill="background1" w:themeFillShade="F2"/>
          </w:tcPr>
          <w:p w14:paraId="7BD02AD9" w14:textId="77777777" w:rsidR="000A46A2" w:rsidRPr="007311D2" w:rsidRDefault="000A46A2" w:rsidP="00585F07">
            <w:pPr>
              <w:rPr>
                <w:rFonts w:asciiTheme="minorHAnsi" w:eastAsia="Arial" w:hAnsiTheme="minorHAnsi" w:cstheme="minorHAnsi"/>
                <w:b w:val="0"/>
                <w:bCs w:val="0"/>
                <w:sz w:val="22"/>
                <w:szCs w:val="22"/>
              </w:rPr>
            </w:pPr>
          </w:p>
        </w:tc>
        <w:tc>
          <w:tcPr>
            <w:tcW w:w="1915" w:type="pct"/>
            <w:shd w:val="clear" w:color="auto" w:fill="F2F2F2" w:themeFill="background1" w:themeFillShade="F2"/>
          </w:tcPr>
          <w:p w14:paraId="7C08C24F" w14:textId="77777777" w:rsidR="000A46A2" w:rsidRPr="007311D2" w:rsidRDefault="000A46A2" w:rsidP="00585F07">
            <w:pPr>
              <w:cnfStyle w:val="000000100000" w:firstRow="0" w:lastRow="0" w:firstColumn="0" w:lastColumn="0" w:oddVBand="0" w:evenVBand="0" w:oddHBand="1" w:evenHBand="0" w:firstRowFirstColumn="0" w:firstRowLastColumn="0" w:lastRowFirstColumn="0" w:lastRowLastColumn="0"/>
              <w:rPr>
                <w:rFonts w:asciiTheme="minorHAnsi" w:eastAsia="Arial" w:hAnsiTheme="minorHAnsi" w:cstheme="minorHAnsi"/>
                <w:sz w:val="22"/>
                <w:szCs w:val="22"/>
              </w:rPr>
            </w:pPr>
            <w:r w:rsidRPr="00F80D88">
              <w:rPr>
                <w:rFonts w:asciiTheme="minorHAnsi" w:eastAsia="Arial" w:hAnsiTheme="minorHAnsi" w:cstheme="minorHAnsi"/>
                <w:sz w:val="22"/>
                <w:szCs w:val="22"/>
              </w:rPr>
              <w:t>z toho ITS/telematika</w:t>
            </w:r>
          </w:p>
        </w:tc>
        <w:tc>
          <w:tcPr>
            <w:tcW w:w="1291" w:type="pct"/>
            <w:shd w:val="clear" w:color="auto" w:fill="auto"/>
          </w:tcPr>
          <w:p w14:paraId="77135E16" w14:textId="77777777" w:rsidR="000A46A2" w:rsidRPr="007311D2" w:rsidRDefault="000A46A2" w:rsidP="00585F07">
            <w:pPr>
              <w:jc w:val="right"/>
              <w:cnfStyle w:val="000000100000" w:firstRow="0" w:lastRow="0" w:firstColumn="0" w:lastColumn="0" w:oddVBand="0" w:evenVBand="0" w:oddHBand="1" w:evenHBand="0" w:firstRowFirstColumn="0" w:firstRowLastColumn="0" w:lastRowFirstColumn="0" w:lastRowLastColumn="0"/>
              <w:rPr>
                <w:rFonts w:asciiTheme="minorHAnsi" w:eastAsia="Arial" w:hAnsiTheme="minorHAnsi" w:cstheme="minorHAnsi"/>
                <w:sz w:val="22"/>
                <w:szCs w:val="22"/>
              </w:rPr>
            </w:pPr>
            <w:r>
              <w:rPr>
                <w:rFonts w:asciiTheme="minorHAnsi" w:eastAsia="Arial" w:hAnsiTheme="minorHAnsi" w:cstheme="minorHAnsi"/>
                <w:sz w:val="22"/>
                <w:szCs w:val="22"/>
              </w:rPr>
              <w:t>0</w:t>
            </w:r>
          </w:p>
        </w:tc>
        <w:tc>
          <w:tcPr>
            <w:tcW w:w="1365" w:type="pct"/>
            <w:shd w:val="clear" w:color="auto" w:fill="auto"/>
          </w:tcPr>
          <w:p w14:paraId="3D0D68E7" w14:textId="77777777" w:rsidR="000A46A2" w:rsidRPr="00F47A8A" w:rsidRDefault="000A46A2" w:rsidP="00585F07">
            <w:pPr>
              <w:cnfStyle w:val="000000100000" w:firstRow="0" w:lastRow="0" w:firstColumn="0" w:lastColumn="0" w:oddVBand="0" w:evenVBand="0" w:oddHBand="1" w:evenHBand="0" w:firstRowFirstColumn="0" w:firstRowLastColumn="0" w:lastRowFirstColumn="0" w:lastRowLastColumn="0"/>
              <w:rPr>
                <w:rFonts w:asciiTheme="minorHAnsi" w:eastAsia="Arial" w:hAnsiTheme="minorHAnsi" w:cstheme="minorHAnsi"/>
                <w:i/>
                <w:color w:val="FF0000"/>
                <w:sz w:val="22"/>
                <w:szCs w:val="22"/>
              </w:rPr>
            </w:pPr>
          </w:p>
        </w:tc>
      </w:tr>
      <w:tr w:rsidR="000A46A2" w:rsidRPr="007311D2" w14:paraId="538568C6" w14:textId="77777777" w:rsidTr="3A247BFC">
        <w:tc>
          <w:tcPr>
            <w:cnfStyle w:val="001000000000" w:firstRow="0" w:lastRow="0" w:firstColumn="1" w:lastColumn="0" w:oddVBand="0" w:evenVBand="0" w:oddHBand="0" w:evenHBand="0" w:firstRowFirstColumn="0" w:firstRowLastColumn="0" w:lastRowFirstColumn="0" w:lastRowLastColumn="0"/>
            <w:tcW w:w="429" w:type="pct"/>
            <w:shd w:val="clear" w:color="auto" w:fill="F2F2F2" w:themeFill="background1" w:themeFillShade="F2"/>
          </w:tcPr>
          <w:p w14:paraId="75E7B58F" w14:textId="77777777" w:rsidR="000A46A2" w:rsidRPr="007311D2" w:rsidRDefault="000A46A2" w:rsidP="00585F07">
            <w:pPr>
              <w:rPr>
                <w:rFonts w:asciiTheme="minorHAnsi" w:eastAsia="Arial" w:hAnsiTheme="minorHAnsi" w:cstheme="minorHAnsi"/>
                <w:b w:val="0"/>
                <w:bCs w:val="0"/>
                <w:sz w:val="22"/>
                <w:szCs w:val="22"/>
              </w:rPr>
            </w:pPr>
            <w:r>
              <w:rPr>
                <w:rFonts w:asciiTheme="minorHAnsi" w:eastAsia="Arial" w:hAnsiTheme="minorHAnsi" w:cstheme="minorHAnsi"/>
                <w:b w:val="0"/>
                <w:bCs w:val="0"/>
                <w:sz w:val="22"/>
                <w:szCs w:val="22"/>
              </w:rPr>
              <w:t>5.</w:t>
            </w:r>
          </w:p>
        </w:tc>
        <w:tc>
          <w:tcPr>
            <w:tcW w:w="1915" w:type="pct"/>
            <w:shd w:val="clear" w:color="auto" w:fill="F2F2F2" w:themeFill="background1" w:themeFillShade="F2"/>
          </w:tcPr>
          <w:p w14:paraId="552D1753" w14:textId="77777777" w:rsidR="000A46A2" w:rsidRPr="007311D2" w:rsidRDefault="000A46A2" w:rsidP="00585F07">
            <w:pPr>
              <w:cnfStyle w:val="000000000000" w:firstRow="0" w:lastRow="0" w:firstColumn="0" w:lastColumn="0" w:oddVBand="0" w:evenVBand="0" w:oddHBand="0" w:evenHBand="0" w:firstRowFirstColumn="0" w:firstRowLastColumn="0" w:lastRowFirstColumn="0" w:lastRowLastColumn="0"/>
              <w:rPr>
                <w:rFonts w:asciiTheme="minorHAnsi" w:eastAsia="Arial" w:hAnsiTheme="minorHAnsi" w:cstheme="minorHAnsi"/>
                <w:sz w:val="22"/>
                <w:szCs w:val="22"/>
              </w:rPr>
            </w:pPr>
            <w:r w:rsidRPr="00F80D88">
              <w:rPr>
                <w:rFonts w:asciiTheme="minorHAnsi" w:eastAsia="Arial" w:hAnsiTheme="minorHAnsi" w:cstheme="minorHAnsi"/>
                <w:sz w:val="22"/>
                <w:szCs w:val="22"/>
              </w:rPr>
              <w:t>Nepředvídatelné události</w:t>
            </w:r>
          </w:p>
        </w:tc>
        <w:tc>
          <w:tcPr>
            <w:tcW w:w="1291" w:type="pct"/>
            <w:shd w:val="clear" w:color="auto" w:fill="auto"/>
          </w:tcPr>
          <w:p w14:paraId="3DE4A60A" w14:textId="303D24A3" w:rsidR="000A46A2" w:rsidRPr="007311D2" w:rsidRDefault="007166CB" w:rsidP="00585F07">
            <w:pPr>
              <w:jc w:val="right"/>
              <w:cnfStyle w:val="000000000000" w:firstRow="0" w:lastRow="0" w:firstColumn="0" w:lastColumn="0" w:oddVBand="0" w:evenVBand="0" w:oddHBand="0" w:evenHBand="0" w:firstRowFirstColumn="0" w:firstRowLastColumn="0" w:lastRowFirstColumn="0" w:lastRowLastColumn="0"/>
              <w:rPr>
                <w:rFonts w:asciiTheme="minorHAnsi" w:eastAsia="Arial" w:hAnsiTheme="minorHAnsi" w:cstheme="minorHAnsi"/>
                <w:sz w:val="22"/>
                <w:szCs w:val="22"/>
              </w:rPr>
            </w:pPr>
            <w:r>
              <w:rPr>
                <w:rFonts w:asciiTheme="minorHAnsi" w:eastAsia="Arial" w:hAnsiTheme="minorHAnsi" w:cstheme="minorHAnsi"/>
                <w:sz w:val="22"/>
                <w:szCs w:val="22"/>
              </w:rPr>
              <w:t>52 465</w:t>
            </w:r>
          </w:p>
        </w:tc>
        <w:tc>
          <w:tcPr>
            <w:tcW w:w="1365" w:type="pct"/>
            <w:shd w:val="clear" w:color="auto" w:fill="auto"/>
          </w:tcPr>
          <w:p w14:paraId="07C2B423" w14:textId="0C76C3E1" w:rsidR="000A46A2" w:rsidRPr="007166CB" w:rsidRDefault="00751005" w:rsidP="00751005">
            <w:pPr>
              <w:jc w:val="left"/>
              <w:cnfStyle w:val="000000000000" w:firstRow="0" w:lastRow="0" w:firstColumn="0" w:lastColumn="0" w:oddVBand="0" w:evenVBand="0" w:oddHBand="0" w:evenHBand="0" w:firstRowFirstColumn="0" w:firstRowLastColumn="0" w:lastRowFirstColumn="0" w:lastRowLastColumn="0"/>
              <w:rPr>
                <w:rFonts w:asciiTheme="minorHAnsi" w:eastAsia="Arial" w:hAnsiTheme="minorHAnsi" w:cstheme="minorHAnsi"/>
                <w:i/>
                <w:sz w:val="22"/>
                <w:szCs w:val="22"/>
              </w:rPr>
            </w:pPr>
            <w:r>
              <w:rPr>
                <w:rFonts w:asciiTheme="minorHAnsi" w:eastAsia="Arial" w:hAnsiTheme="minorHAnsi" w:cstheme="minorHAnsi"/>
                <w:i/>
                <w:sz w:val="22"/>
                <w:szCs w:val="22"/>
              </w:rPr>
              <w:t>r</w:t>
            </w:r>
            <w:r w:rsidR="000A46A2" w:rsidRPr="007166CB">
              <w:rPr>
                <w:rFonts w:asciiTheme="minorHAnsi" w:eastAsia="Arial" w:hAnsiTheme="minorHAnsi" w:cstheme="minorHAnsi"/>
                <w:i/>
                <w:sz w:val="22"/>
                <w:szCs w:val="22"/>
              </w:rPr>
              <w:t>ezerv</w:t>
            </w:r>
            <w:r>
              <w:rPr>
                <w:rFonts w:asciiTheme="minorHAnsi" w:eastAsia="Arial" w:hAnsiTheme="minorHAnsi" w:cstheme="minorHAnsi"/>
                <w:i/>
                <w:sz w:val="22"/>
                <w:szCs w:val="22"/>
              </w:rPr>
              <w:t>a</w:t>
            </w:r>
            <w:r w:rsidR="000A46A2" w:rsidRPr="007166CB">
              <w:rPr>
                <w:rFonts w:asciiTheme="minorHAnsi" w:eastAsia="Arial" w:hAnsiTheme="minorHAnsi" w:cstheme="minorHAnsi"/>
                <w:i/>
                <w:sz w:val="22"/>
                <w:szCs w:val="22"/>
              </w:rPr>
              <w:t xml:space="preserve"> 10 % </w:t>
            </w:r>
            <w:r>
              <w:rPr>
                <w:rFonts w:asciiTheme="minorHAnsi" w:eastAsia="Arial" w:hAnsiTheme="minorHAnsi" w:cstheme="minorHAnsi"/>
                <w:i/>
                <w:sz w:val="22"/>
                <w:szCs w:val="22"/>
              </w:rPr>
              <w:t>stavebních</w:t>
            </w:r>
            <w:r w:rsidR="000A46A2" w:rsidRPr="007166CB">
              <w:rPr>
                <w:rFonts w:asciiTheme="minorHAnsi" w:eastAsia="Arial" w:hAnsiTheme="minorHAnsi" w:cstheme="minorHAnsi"/>
                <w:i/>
                <w:sz w:val="22"/>
                <w:szCs w:val="22"/>
              </w:rPr>
              <w:t xml:space="preserve"> nákladů</w:t>
            </w:r>
          </w:p>
        </w:tc>
      </w:tr>
      <w:tr w:rsidR="000A46A2" w:rsidRPr="007311D2" w14:paraId="44778D2A" w14:textId="77777777" w:rsidTr="3A247B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9" w:type="pct"/>
            <w:shd w:val="clear" w:color="auto" w:fill="F2F2F2" w:themeFill="background1" w:themeFillShade="F2"/>
          </w:tcPr>
          <w:p w14:paraId="40114766" w14:textId="77777777" w:rsidR="000A46A2" w:rsidRPr="00CD5486" w:rsidRDefault="000A46A2" w:rsidP="00585F07">
            <w:pPr>
              <w:rPr>
                <w:rFonts w:asciiTheme="minorHAnsi" w:eastAsia="Arial" w:hAnsiTheme="minorHAnsi" w:cstheme="minorHAnsi"/>
                <w:b w:val="0"/>
                <w:bCs w:val="0"/>
                <w:sz w:val="22"/>
                <w:szCs w:val="22"/>
              </w:rPr>
            </w:pPr>
            <w:r>
              <w:rPr>
                <w:rFonts w:asciiTheme="minorHAnsi" w:eastAsia="Arial" w:hAnsiTheme="minorHAnsi" w:cstheme="minorHAnsi"/>
                <w:b w:val="0"/>
                <w:bCs w:val="0"/>
                <w:sz w:val="22"/>
                <w:szCs w:val="22"/>
              </w:rPr>
              <w:t>6.</w:t>
            </w:r>
          </w:p>
        </w:tc>
        <w:tc>
          <w:tcPr>
            <w:tcW w:w="1915" w:type="pct"/>
            <w:shd w:val="clear" w:color="auto" w:fill="F2F2F2" w:themeFill="background1" w:themeFillShade="F2"/>
          </w:tcPr>
          <w:p w14:paraId="71ECFB3A" w14:textId="77777777" w:rsidR="000A46A2" w:rsidRPr="007311D2" w:rsidRDefault="000A46A2" w:rsidP="00585F07">
            <w:pPr>
              <w:cnfStyle w:val="000000100000" w:firstRow="0" w:lastRow="0" w:firstColumn="0" w:lastColumn="0" w:oddVBand="0" w:evenVBand="0" w:oddHBand="1" w:evenHBand="0" w:firstRowFirstColumn="0" w:firstRowLastColumn="0" w:lastRowFirstColumn="0" w:lastRowLastColumn="0"/>
              <w:rPr>
                <w:rFonts w:asciiTheme="minorHAnsi" w:eastAsia="Arial" w:hAnsiTheme="minorHAnsi" w:cstheme="minorHAnsi"/>
                <w:sz w:val="22"/>
                <w:szCs w:val="22"/>
              </w:rPr>
            </w:pPr>
            <w:r w:rsidRPr="00F80D88">
              <w:rPr>
                <w:rFonts w:asciiTheme="minorHAnsi" w:eastAsia="Arial" w:hAnsiTheme="minorHAnsi" w:cstheme="minorHAnsi"/>
                <w:sz w:val="22"/>
                <w:szCs w:val="22"/>
              </w:rPr>
              <w:t>Příp. úprava ceny (3)</w:t>
            </w:r>
          </w:p>
        </w:tc>
        <w:tc>
          <w:tcPr>
            <w:tcW w:w="1291" w:type="pct"/>
            <w:shd w:val="clear" w:color="auto" w:fill="auto"/>
          </w:tcPr>
          <w:p w14:paraId="2B6EE4D8" w14:textId="77777777" w:rsidR="000A46A2" w:rsidRPr="007311D2" w:rsidRDefault="000A46A2" w:rsidP="00585F07">
            <w:pPr>
              <w:jc w:val="right"/>
              <w:cnfStyle w:val="000000100000" w:firstRow="0" w:lastRow="0" w:firstColumn="0" w:lastColumn="0" w:oddVBand="0" w:evenVBand="0" w:oddHBand="1" w:evenHBand="0" w:firstRowFirstColumn="0" w:firstRowLastColumn="0" w:lastRowFirstColumn="0" w:lastRowLastColumn="0"/>
              <w:rPr>
                <w:rFonts w:asciiTheme="minorHAnsi" w:eastAsia="Arial" w:hAnsiTheme="minorHAnsi" w:cstheme="minorHAnsi"/>
                <w:sz w:val="22"/>
                <w:szCs w:val="22"/>
              </w:rPr>
            </w:pPr>
            <w:r>
              <w:rPr>
                <w:rFonts w:asciiTheme="minorHAnsi" w:eastAsia="Arial" w:hAnsiTheme="minorHAnsi" w:cstheme="minorHAnsi"/>
                <w:sz w:val="22"/>
                <w:szCs w:val="22"/>
              </w:rPr>
              <w:t>0</w:t>
            </w:r>
          </w:p>
        </w:tc>
        <w:tc>
          <w:tcPr>
            <w:tcW w:w="1365" w:type="pct"/>
            <w:shd w:val="clear" w:color="auto" w:fill="auto"/>
          </w:tcPr>
          <w:p w14:paraId="584E0736" w14:textId="2110E8DE" w:rsidR="000A46A2" w:rsidRPr="007166CB" w:rsidRDefault="00751005" w:rsidP="00751005">
            <w:pPr>
              <w:jc w:val="left"/>
              <w:cnfStyle w:val="000000100000" w:firstRow="0" w:lastRow="0" w:firstColumn="0" w:lastColumn="0" w:oddVBand="0" w:evenVBand="0" w:oddHBand="1" w:evenHBand="0" w:firstRowFirstColumn="0" w:firstRowLastColumn="0" w:lastRowFirstColumn="0" w:lastRowLastColumn="0"/>
              <w:rPr>
                <w:rFonts w:asciiTheme="minorHAnsi" w:eastAsia="Arial" w:hAnsiTheme="minorHAnsi" w:cstheme="minorHAnsi"/>
                <w:i/>
                <w:sz w:val="22"/>
                <w:szCs w:val="22"/>
              </w:rPr>
            </w:pPr>
            <w:r>
              <w:rPr>
                <w:rFonts w:asciiTheme="minorHAnsi" w:eastAsia="Arial" w:hAnsiTheme="minorHAnsi" w:cstheme="minorHAnsi"/>
                <w:i/>
                <w:sz w:val="22"/>
                <w:szCs w:val="22"/>
              </w:rPr>
              <w:t>očekávaná inflace je v nákladech obsažena</w:t>
            </w:r>
          </w:p>
        </w:tc>
      </w:tr>
      <w:tr w:rsidR="000A46A2" w:rsidRPr="007311D2" w14:paraId="5CFA7889" w14:textId="77777777" w:rsidTr="3A247BFC">
        <w:tc>
          <w:tcPr>
            <w:cnfStyle w:val="001000000000" w:firstRow="0" w:lastRow="0" w:firstColumn="1" w:lastColumn="0" w:oddVBand="0" w:evenVBand="0" w:oddHBand="0" w:evenHBand="0" w:firstRowFirstColumn="0" w:firstRowLastColumn="0" w:lastRowFirstColumn="0" w:lastRowLastColumn="0"/>
            <w:tcW w:w="429" w:type="pct"/>
            <w:shd w:val="clear" w:color="auto" w:fill="F2F2F2" w:themeFill="background1" w:themeFillShade="F2"/>
          </w:tcPr>
          <w:p w14:paraId="396F6956" w14:textId="77777777" w:rsidR="000A46A2" w:rsidRPr="00CD5486" w:rsidRDefault="000A46A2" w:rsidP="00585F07">
            <w:pPr>
              <w:rPr>
                <w:rFonts w:asciiTheme="minorHAnsi" w:eastAsia="Arial" w:hAnsiTheme="minorHAnsi" w:cstheme="minorHAnsi"/>
                <w:b w:val="0"/>
                <w:sz w:val="22"/>
                <w:szCs w:val="22"/>
              </w:rPr>
            </w:pPr>
            <w:r>
              <w:rPr>
                <w:rFonts w:asciiTheme="minorHAnsi" w:eastAsia="Arial" w:hAnsiTheme="minorHAnsi" w:cstheme="minorHAnsi"/>
                <w:b w:val="0"/>
                <w:sz w:val="22"/>
                <w:szCs w:val="22"/>
              </w:rPr>
              <w:t>7.</w:t>
            </w:r>
          </w:p>
        </w:tc>
        <w:tc>
          <w:tcPr>
            <w:tcW w:w="1915" w:type="pct"/>
            <w:shd w:val="clear" w:color="auto" w:fill="F2F2F2" w:themeFill="background1" w:themeFillShade="F2"/>
          </w:tcPr>
          <w:p w14:paraId="0228E35C" w14:textId="77777777" w:rsidR="000A46A2" w:rsidRPr="007311D2" w:rsidRDefault="000A46A2" w:rsidP="00585F07">
            <w:pPr>
              <w:cnfStyle w:val="000000000000" w:firstRow="0" w:lastRow="0" w:firstColumn="0" w:lastColumn="0" w:oddVBand="0" w:evenVBand="0" w:oddHBand="0" w:evenHBand="0" w:firstRowFirstColumn="0" w:firstRowLastColumn="0" w:lastRowFirstColumn="0" w:lastRowLastColumn="0"/>
              <w:rPr>
                <w:rFonts w:asciiTheme="minorHAnsi" w:eastAsia="Arial" w:hAnsiTheme="minorHAnsi" w:cstheme="minorHAnsi"/>
                <w:sz w:val="22"/>
                <w:szCs w:val="22"/>
              </w:rPr>
            </w:pPr>
            <w:r w:rsidRPr="00F80D88">
              <w:rPr>
                <w:rFonts w:asciiTheme="minorHAnsi" w:eastAsia="Arial" w:hAnsiTheme="minorHAnsi" w:cstheme="minorHAnsi"/>
                <w:sz w:val="22"/>
                <w:szCs w:val="22"/>
              </w:rPr>
              <w:t>Technická pomoc</w:t>
            </w:r>
          </w:p>
        </w:tc>
        <w:tc>
          <w:tcPr>
            <w:tcW w:w="1291" w:type="pct"/>
            <w:shd w:val="clear" w:color="auto" w:fill="auto"/>
          </w:tcPr>
          <w:p w14:paraId="75A6EF19" w14:textId="548093BA" w:rsidR="000A46A2" w:rsidRPr="007311D2" w:rsidRDefault="007166CB" w:rsidP="00585F07">
            <w:pPr>
              <w:jc w:val="right"/>
              <w:cnfStyle w:val="000000000000" w:firstRow="0" w:lastRow="0" w:firstColumn="0" w:lastColumn="0" w:oddVBand="0" w:evenVBand="0" w:oddHBand="0" w:evenHBand="0" w:firstRowFirstColumn="0" w:firstRowLastColumn="0" w:lastRowFirstColumn="0" w:lastRowLastColumn="0"/>
              <w:rPr>
                <w:rFonts w:asciiTheme="minorHAnsi" w:eastAsia="Arial" w:hAnsiTheme="minorHAnsi" w:cstheme="minorHAnsi"/>
                <w:sz w:val="22"/>
                <w:szCs w:val="22"/>
              </w:rPr>
            </w:pPr>
            <w:r>
              <w:rPr>
                <w:rFonts w:asciiTheme="minorHAnsi" w:eastAsia="Arial" w:hAnsiTheme="minorHAnsi" w:cstheme="minorHAnsi"/>
                <w:sz w:val="22"/>
                <w:szCs w:val="22"/>
              </w:rPr>
              <w:t>42 987</w:t>
            </w:r>
          </w:p>
        </w:tc>
        <w:tc>
          <w:tcPr>
            <w:tcW w:w="1365" w:type="pct"/>
            <w:shd w:val="clear" w:color="auto" w:fill="auto"/>
          </w:tcPr>
          <w:p w14:paraId="202F9882" w14:textId="77777777" w:rsidR="000A46A2" w:rsidRPr="005652C9" w:rsidRDefault="000A46A2" w:rsidP="00751005">
            <w:pPr>
              <w:jc w:val="left"/>
              <w:cnfStyle w:val="000000000000" w:firstRow="0" w:lastRow="0" w:firstColumn="0" w:lastColumn="0" w:oddVBand="0" w:evenVBand="0" w:oddHBand="0" w:evenHBand="0" w:firstRowFirstColumn="0" w:firstRowLastColumn="0" w:lastRowFirstColumn="0" w:lastRowLastColumn="0"/>
              <w:rPr>
                <w:rFonts w:asciiTheme="minorHAnsi" w:eastAsia="Arial" w:hAnsiTheme="minorHAnsi" w:cstheme="minorHAnsi"/>
                <w:i/>
                <w:color w:val="FF0000"/>
                <w:sz w:val="22"/>
                <w:szCs w:val="22"/>
              </w:rPr>
            </w:pPr>
          </w:p>
        </w:tc>
      </w:tr>
      <w:tr w:rsidR="000A46A2" w:rsidRPr="007311D2" w14:paraId="26036D74" w14:textId="77777777" w:rsidTr="3A247B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9" w:type="pct"/>
            <w:shd w:val="clear" w:color="auto" w:fill="F2F2F2" w:themeFill="background1" w:themeFillShade="F2"/>
          </w:tcPr>
          <w:p w14:paraId="0FEEFA49" w14:textId="77777777" w:rsidR="000A46A2" w:rsidRPr="00CD5486" w:rsidRDefault="000A46A2" w:rsidP="00585F07">
            <w:pPr>
              <w:rPr>
                <w:rFonts w:asciiTheme="minorHAnsi" w:eastAsia="Arial" w:hAnsiTheme="minorHAnsi" w:cstheme="minorHAnsi"/>
                <w:b w:val="0"/>
                <w:bCs w:val="0"/>
                <w:sz w:val="22"/>
                <w:szCs w:val="22"/>
              </w:rPr>
            </w:pPr>
            <w:r>
              <w:rPr>
                <w:rFonts w:asciiTheme="minorHAnsi" w:eastAsia="Arial" w:hAnsiTheme="minorHAnsi" w:cstheme="minorHAnsi"/>
                <w:b w:val="0"/>
                <w:bCs w:val="0"/>
                <w:sz w:val="22"/>
                <w:szCs w:val="22"/>
              </w:rPr>
              <w:t>8.</w:t>
            </w:r>
          </w:p>
        </w:tc>
        <w:tc>
          <w:tcPr>
            <w:tcW w:w="1915" w:type="pct"/>
            <w:shd w:val="clear" w:color="auto" w:fill="F2F2F2" w:themeFill="background1" w:themeFillShade="F2"/>
          </w:tcPr>
          <w:p w14:paraId="5E04862E" w14:textId="77777777" w:rsidR="000A46A2" w:rsidRPr="007311D2" w:rsidRDefault="000A46A2" w:rsidP="00585F07">
            <w:pPr>
              <w:cnfStyle w:val="000000100000" w:firstRow="0" w:lastRow="0" w:firstColumn="0" w:lastColumn="0" w:oddVBand="0" w:evenVBand="0" w:oddHBand="1" w:evenHBand="0" w:firstRowFirstColumn="0" w:firstRowLastColumn="0" w:lastRowFirstColumn="0" w:lastRowLastColumn="0"/>
              <w:rPr>
                <w:rFonts w:asciiTheme="minorHAnsi" w:eastAsia="Arial" w:hAnsiTheme="minorHAnsi" w:cstheme="minorHAnsi"/>
                <w:sz w:val="22"/>
                <w:szCs w:val="22"/>
              </w:rPr>
            </w:pPr>
            <w:r w:rsidRPr="00F80D88">
              <w:rPr>
                <w:rFonts w:asciiTheme="minorHAnsi" w:eastAsia="Arial" w:hAnsiTheme="minorHAnsi" w:cstheme="minorHAnsi"/>
                <w:sz w:val="22"/>
                <w:szCs w:val="22"/>
              </w:rPr>
              <w:t>Propagace</w:t>
            </w:r>
          </w:p>
        </w:tc>
        <w:tc>
          <w:tcPr>
            <w:tcW w:w="1291" w:type="pct"/>
            <w:shd w:val="clear" w:color="auto" w:fill="auto"/>
          </w:tcPr>
          <w:p w14:paraId="6E9C6D5F" w14:textId="77777777" w:rsidR="000A46A2" w:rsidRPr="007311D2" w:rsidRDefault="000A46A2" w:rsidP="00585F07">
            <w:pPr>
              <w:jc w:val="right"/>
              <w:cnfStyle w:val="000000100000" w:firstRow="0" w:lastRow="0" w:firstColumn="0" w:lastColumn="0" w:oddVBand="0" w:evenVBand="0" w:oddHBand="1" w:evenHBand="0" w:firstRowFirstColumn="0" w:firstRowLastColumn="0" w:lastRowFirstColumn="0" w:lastRowLastColumn="0"/>
              <w:rPr>
                <w:rFonts w:asciiTheme="minorHAnsi" w:eastAsia="Arial" w:hAnsiTheme="minorHAnsi" w:cstheme="minorHAnsi"/>
                <w:sz w:val="22"/>
                <w:szCs w:val="22"/>
              </w:rPr>
            </w:pPr>
            <w:r>
              <w:rPr>
                <w:rFonts w:asciiTheme="minorHAnsi" w:eastAsia="Arial" w:hAnsiTheme="minorHAnsi" w:cstheme="minorHAnsi"/>
                <w:sz w:val="22"/>
                <w:szCs w:val="22"/>
              </w:rPr>
              <w:t>0</w:t>
            </w:r>
          </w:p>
        </w:tc>
        <w:tc>
          <w:tcPr>
            <w:tcW w:w="1365" w:type="pct"/>
            <w:shd w:val="clear" w:color="auto" w:fill="auto"/>
          </w:tcPr>
          <w:p w14:paraId="021CCD7A" w14:textId="77777777" w:rsidR="000A46A2" w:rsidRPr="005652C9" w:rsidRDefault="000A46A2" w:rsidP="00751005">
            <w:pPr>
              <w:jc w:val="left"/>
              <w:cnfStyle w:val="000000100000" w:firstRow="0" w:lastRow="0" w:firstColumn="0" w:lastColumn="0" w:oddVBand="0" w:evenVBand="0" w:oddHBand="1" w:evenHBand="0" w:firstRowFirstColumn="0" w:firstRowLastColumn="0" w:lastRowFirstColumn="0" w:lastRowLastColumn="0"/>
              <w:rPr>
                <w:rFonts w:asciiTheme="minorHAnsi" w:eastAsia="Arial" w:hAnsiTheme="minorHAnsi" w:cstheme="minorHAnsi"/>
                <w:i/>
                <w:color w:val="FF0000"/>
                <w:sz w:val="22"/>
                <w:szCs w:val="22"/>
              </w:rPr>
            </w:pPr>
          </w:p>
        </w:tc>
      </w:tr>
      <w:tr w:rsidR="000A46A2" w:rsidRPr="007311D2" w14:paraId="60E84B10" w14:textId="77777777" w:rsidTr="3A247BFC">
        <w:tc>
          <w:tcPr>
            <w:cnfStyle w:val="001000000000" w:firstRow="0" w:lastRow="0" w:firstColumn="1" w:lastColumn="0" w:oddVBand="0" w:evenVBand="0" w:oddHBand="0" w:evenHBand="0" w:firstRowFirstColumn="0" w:firstRowLastColumn="0" w:lastRowFirstColumn="0" w:lastRowLastColumn="0"/>
            <w:tcW w:w="429" w:type="pct"/>
            <w:shd w:val="clear" w:color="auto" w:fill="F2F2F2" w:themeFill="background1" w:themeFillShade="F2"/>
          </w:tcPr>
          <w:p w14:paraId="6C8AD475" w14:textId="77777777" w:rsidR="000A46A2" w:rsidRPr="00894D0B" w:rsidRDefault="000A46A2" w:rsidP="00585F07">
            <w:pPr>
              <w:rPr>
                <w:rFonts w:asciiTheme="minorHAnsi" w:eastAsia="Arial" w:hAnsiTheme="minorHAnsi" w:cstheme="minorHAnsi"/>
                <w:b w:val="0"/>
                <w:bCs w:val="0"/>
                <w:sz w:val="22"/>
                <w:szCs w:val="22"/>
              </w:rPr>
            </w:pPr>
            <w:r w:rsidRPr="00894D0B">
              <w:rPr>
                <w:rFonts w:asciiTheme="minorHAnsi" w:eastAsia="Arial" w:hAnsiTheme="minorHAnsi" w:cstheme="minorHAnsi"/>
                <w:b w:val="0"/>
                <w:bCs w:val="0"/>
                <w:sz w:val="22"/>
                <w:szCs w:val="22"/>
              </w:rPr>
              <w:t>9.</w:t>
            </w:r>
          </w:p>
        </w:tc>
        <w:tc>
          <w:tcPr>
            <w:tcW w:w="1915" w:type="pct"/>
            <w:shd w:val="clear" w:color="auto" w:fill="F2F2F2" w:themeFill="background1" w:themeFillShade="F2"/>
          </w:tcPr>
          <w:p w14:paraId="25056AC4" w14:textId="77777777" w:rsidR="000A46A2" w:rsidRPr="00894D0B" w:rsidRDefault="000A46A2" w:rsidP="00585F07">
            <w:pPr>
              <w:cnfStyle w:val="000000000000" w:firstRow="0" w:lastRow="0" w:firstColumn="0" w:lastColumn="0" w:oddVBand="0" w:evenVBand="0" w:oddHBand="0" w:evenHBand="0" w:firstRowFirstColumn="0" w:firstRowLastColumn="0" w:lastRowFirstColumn="0" w:lastRowLastColumn="0"/>
              <w:rPr>
                <w:rFonts w:asciiTheme="minorHAnsi" w:eastAsia="Arial" w:hAnsiTheme="minorHAnsi" w:cstheme="minorHAnsi"/>
                <w:sz w:val="22"/>
                <w:szCs w:val="22"/>
              </w:rPr>
            </w:pPr>
            <w:r w:rsidRPr="00F80D88">
              <w:rPr>
                <w:rFonts w:asciiTheme="minorHAnsi" w:eastAsia="Arial" w:hAnsiTheme="minorHAnsi" w:cstheme="minorHAnsi"/>
                <w:sz w:val="22"/>
                <w:szCs w:val="22"/>
              </w:rPr>
              <w:t>Dozor v průběhu výstavby</w:t>
            </w:r>
          </w:p>
        </w:tc>
        <w:tc>
          <w:tcPr>
            <w:tcW w:w="1291" w:type="pct"/>
            <w:shd w:val="clear" w:color="auto" w:fill="auto"/>
          </w:tcPr>
          <w:p w14:paraId="5BDDA829" w14:textId="041E6428" w:rsidR="000A46A2" w:rsidRPr="00B51568" w:rsidRDefault="007166CB" w:rsidP="00585F07">
            <w:pPr>
              <w:jc w:val="right"/>
              <w:cnfStyle w:val="000000000000" w:firstRow="0" w:lastRow="0" w:firstColumn="0" w:lastColumn="0" w:oddVBand="0" w:evenVBand="0" w:oddHBand="0" w:evenHBand="0" w:firstRowFirstColumn="0" w:firstRowLastColumn="0" w:lastRowFirstColumn="0" w:lastRowLastColumn="0"/>
              <w:rPr>
                <w:rFonts w:asciiTheme="minorHAnsi" w:eastAsia="Arial" w:hAnsiTheme="minorHAnsi" w:cstheme="minorHAnsi"/>
                <w:sz w:val="22"/>
                <w:szCs w:val="22"/>
              </w:rPr>
            </w:pPr>
            <w:r>
              <w:rPr>
                <w:rFonts w:asciiTheme="minorHAnsi" w:eastAsia="Arial" w:hAnsiTheme="minorHAnsi" w:cstheme="minorHAnsi"/>
                <w:sz w:val="22"/>
                <w:szCs w:val="22"/>
              </w:rPr>
              <w:t>3 459</w:t>
            </w:r>
          </w:p>
        </w:tc>
        <w:tc>
          <w:tcPr>
            <w:tcW w:w="1365" w:type="pct"/>
            <w:shd w:val="clear" w:color="auto" w:fill="auto"/>
          </w:tcPr>
          <w:p w14:paraId="61890742" w14:textId="77777777" w:rsidR="000A46A2" w:rsidRPr="00F47A8A" w:rsidRDefault="000A46A2" w:rsidP="00751005">
            <w:pPr>
              <w:jc w:val="left"/>
              <w:cnfStyle w:val="000000000000" w:firstRow="0" w:lastRow="0" w:firstColumn="0" w:lastColumn="0" w:oddVBand="0" w:evenVBand="0" w:oddHBand="0" w:evenHBand="0" w:firstRowFirstColumn="0" w:firstRowLastColumn="0" w:lastRowFirstColumn="0" w:lastRowLastColumn="0"/>
              <w:rPr>
                <w:rFonts w:asciiTheme="minorHAnsi" w:eastAsia="Arial" w:hAnsiTheme="minorHAnsi" w:cstheme="minorHAnsi"/>
                <w:i/>
                <w:color w:val="FF0000"/>
                <w:sz w:val="22"/>
                <w:szCs w:val="22"/>
              </w:rPr>
            </w:pPr>
          </w:p>
        </w:tc>
      </w:tr>
      <w:tr w:rsidR="000A46A2" w:rsidRPr="007311D2" w14:paraId="34EAB1B0" w14:textId="77777777" w:rsidTr="3A247B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9" w:type="pct"/>
            <w:shd w:val="clear" w:color="auto" w:fill="F2F2F2" w:themeFill="background1" w:themeFillShade="F2"/>
          </w:tcPr>
          <w:p w14:paraId="4A9487B8" w14:textId="77777777" w:rsidR="000A46A2" w:rsidRPr="00894D0B" w:rsidRDefault="000A46A2" w:rsidP="00585F07">
            <w:pPr>
              <w:rPr>
                <w:rFonts w:asciiTheme="minorHAnsi" w:eastAsia="Arial" w:hAnsiTheme="minorHAnsi" w:cstheme="minorHAnsi"/>
                <w:b w:val="0"/>
                <w:bCs w:val="0"/>
                <w:sz w:val="22"/>
                <w:szCs w:val="22"/>
              </w:rPr>
            </w:pPr>
            <w:r w:rsidRPr="00894D0B">
              <w:rPr>
                <w:rFonts w:asciiTheme="minorHAnsi" w:eastAsia="Arial" w:hAnsiTheme="minorHAnsi" w:cstheme="minorHAnsi"/>
                <w:b w:val="0"/>
                <w:bCs w:val="0"/>
                <w:sz w:val="22"/>
                <w:szCs w:val="22"/>
              </w:rPr>
              <w:t xml:space="preserve">10. </w:t>
            </w:r>
          </w:p>
        </w:tc>
        <w:tc>
          <w:tcPr>
            <w:tcW w:w="1915" w:type="pct"/>
            <w:shd w:val="clear" w:color="auto" w:fill="F2F2F2" w:themeFill="background1" w:themeFillShade="F2"/>
          </w:tcPr>
          <w:p w14:paraId="3F276EB1" w14:textId="77777777" w:rsidR="000A46A2" w:rsidRPr="00894D0B" w:rsidRDefault="000A46A2" w:rsidP="00585F07">
            <w:pPr>
              <w:cnfStyle w:val="000000100000" w:firstRow="0" w:lastRow="0" w:firstColumn="0" w:lastColumn="0" w:oddVBand="0" w:evenVBand="0" w:oddHBand="1" w:evenHBand="0" w:firstRowFirstColumn="0" w:firstRowLastColumn="0" w:lastRowFirstColumn="0" w:lastRowLastColumn="0"/>
              <w:rPr>
                <w:rFonts w:asciiTheme="minorHAnsi" w:eastAsia="Arial" w:hAnsiTheme="minorHAnsi" w:cstheme="minorHAnsi"/>
                <w:sz w:val="22"/>
                <w:szCs w:val="22"/>
              </w:rPr>
            </w:pPr>
            <w:r w:rsidRPr="00894D0B">
              <w:rPr>
                <w:rFonts w:asciiTheme="minorHAnsi" w:eastAsia="Arial" w:hAnsiTheme="minorHAnsi" w:cstheme="minorHAnsi"/>
                <w:sz w:val="22"/>
                <w:szCs w:val="22"/>
              </w:rPr>
              <w:t>Celkem bez DPH</w:t>
            </w:r>
          </w:p>
        </w:tc>
        <w:tc>
          <w:tcPr>
            <w:tcW w:w="1291" w:type="pct"/>
            <w:shd w:val="clear" w:color="auto" w:fill="auto"/>
          </w:tcPr>
          <w:p w14:paraId="66CE55C3" w14:textId="21473CA5" w:rsidR="000A46A2" w:rsidRPr="00B51568" w:rsidRDefault="007166CB" w:rsidP="00585F07">
            <w:pPr>
              <w:jc w:val="right"/>
              <w:cnfStyle w:val="000000100000" w:firstRow="0" w:lastRow="0" w:firstColumn="0" w:lastColumn="0" w:oddVBand="0" w:evenVBand="0" w:oddHBand="1" w:evenHBand="0" w:firstRowFirstColumn="0" w:firstRowLastColumn="0" w:lastRowFirstColumn="0" w:lastRowLastColumn="0"/>
              <w:rPr>
                <w:rFonts w:asciiTheme="minorHAnsi" w:eastAsia="Arial" w:hAnsiTheme="minorHAnsi" w:cstheme="minorHAnsi"/>
                <w:sz w:val="22"/>
                <w:szCs w:val="22"/>
              </w:rPr>
            </w:pPr>
            <w:r>
              <w:rPr>
                <w:rFonts w:asciiTheme="minorHAnsi" w:eastAsia="Arial" w:hAnsiTheme="minorHAnsi" w:cstheme="minorHAnsi"/>
                <w:sz w:val="22"/>
                <w:szCs w:val="22"/>
              </w:rPr>
              <w:t>683 692</w:t>
            </w:r>
          </w:p>
        </w:tc>
        <w:tc>
          <w:tcPr>
            <w:tcW w:w="1365" w:type="pct"/>
            <w:shd w:val="clear" w:color="auto" w:fill="auto"/>
          </w:tcPr>
          <w:p w14:paraId="14BD1566" w14:textId="77777777" w:rsidR="000A46A2" w:rsidRPr="00F47A8A" w:rsidRDefault="000A46A2" w:rsidP="00751005">
            <w:pPr>
              <w:jc w:val="left"/>
              <w:cnfStyle w:val="000000100000" w:firstRow="0" w:lastRow="0" w:firstColumn="0" w:lastColumn="0" w:oddVBand="0" w:evenVBand="0" w:oddHBand="1" w:evenHBand="0" w:firstRowFirstColumn="0" w:firstRowLastColumn="0" w:lastRowFirstColumn="0" w:lastRowLastColumn="0"/>
              <w:rPr>
                <w:rFonts w:asciiTheme="minorHAnsi" w:eastAsia="Arial" w:hAnsiTheme="minorHAnsi" w:cstheme="minorHAnsi"/>
                <w:i/>
                <w:color w:val="FF0000"/>
                <w:sz w:val="22"/>
                <w:szCs w:val="22"/>
              </w:rPr>
            </w:pPr>
          </w:p>
        </w:tc>
      </w:tr>
      <w:tr w:rsidR="000A46A2" w:rsidRPr="007311D2" w14:paraId="5423F9BE" w14:textId="77777777" w:rsidTr="3A247BFC">
        <w:tc>
          <w:tcPr>
            <w:cnfStyle w:val="001000000000" w:firstRow="0" w:lastRow="0" w:firstColumn="1" w:lastColumn="0" w:oddVBand="0" w:evenVBand="0" w:oddHBand="0" w:evenHBand="0" w:firstRowFirstColumn="0" w:firstRowLastColumn="0" w:lastRowFirstColumn="0" w:lastRowLastColumn="0"/>
            <w:tcW w:w="429" w:type="pct"/>
            <w:tcBorders>
              <w:bottom w:val="single" w:sz="12" w:space="0" w:color="auto"/>
            </w:tcBorders>
            <w:shd w:val="clear" w:color="auto" w:fill="F2F2F2" w:themeFill="background1" w:themeFillShade="F2"/>
          </w:tcPr>
          <w:p w14:paraId="2AAF794B" w14:textId="77777777" w:rsidR="000A46A2" w:rsidRPr="00894D0B" w:rsidRDefault="000A46A2" w:rsidP="00585F07">
            <w:pPr>
              <w:rPr>
                <w:rFonts w:asciiTheme="minorHAnsi" w:eastAsia="Arial" w:hAnsiTheme="minorHAnsi" w:cstheme="minorHAnsi"/>
                <w:b w:val="0"/>
                <w:bCs w:val="0"/>
                <w:sz w:val="22"/>
                <w:szCs w:val="22"/>
              </w:rPr>
            </w:pPr>
            <w:r w:rsidRPr="00894D0B">
              <w:rPr>
                <w:rFonts w:asciiTheme="minorHAnsi" w:eastAsia="Arial" w:hAnsiTheme="minorHAnsi" w:cstheme="minorHAnsi"/>
                <w:b w:val="0"/>
                <w:bCs w:val="0"/>
                <w:sz w:val="22"/>
                <w:szCs w:val="22"/>
              </w:rPr>
              <w:t>11</w:t>
            </w:r>
            <w:r>
              <w:rPr>
                <w:rFonts w:asciiTheme="minorHAnsi" w:eastAsia="Arial" w:hAnsiTheme="minorHAnsi" w:cstheme="minorHAnsi"/>
                <w:b w:val="0"/>
                <w:bCs w:val="0"/>
                <w:sz w:val="22"/>
                <w:szCs w:val="22"/>
              </w:rPr>
              <w:t>.</w:t>
            </w:r>
          </w:p>
        </w:tc>
        <w:tc>
          <w:tcPr>
            <w:tcW w:w="1915" w:type="pct"/>
            <w:tcBorders>
              <w:bottom w:val="single" w:sz="12" w:space="0" w:color="auto"/>
            </w:tcBorders>
            <w:shd w:val="clear" w:color="auto" w:fill="F2F2F2" w:themeFill="background1" w:themeFillShade="F2"/>
          </w:tcPr>
          <w:p w14:paraId="28CCE93F" w14:textId="77777777" w:rsidR="000A46A2" w:rsidRPr="007311D2" w:rsidRDefault="000A46A2" w:rsidP="00585F07">
            <w:pPr>
              <w:cnfStyle w:val="000000000000" w:firstRow="0" w:lastRow="0" w:firstColumn="0" w:lastColumn="0" w:oddVBand="0" w:evenVBand="0" w:oddHBand="0" w:evenHBand="0" w:firstRowFirstColumn="0" w:firstRowLastColumn="0" w:lastRowFirstColumn="0" w:lastRowLastColumn="0"/>
              <w:rPr>
                <w:rFonts w:asciiTheme="minorHAnsi" w:eastAsia="Arial" w:hAnsiTheme="minorHAnsi" w:cstheme="minorHAnsi"/>
                <w:sz w:val="22"/>
                <w:szCs w:val="22"/>
              </w:rPr>
            </w:pPr>
            <w:r>
              <w:rPr>
                <w:rFonts w:asciiTheme="minorHAnsi" w:eastAsia="Arial" w:hAnsiTheme="minorHAnsi" w:cstheme="minorHAnsi"/>
                <w:sz w:val="22"/>
                <w:szCs w:val="22"/>
              </w:rPr>
              <w:t>Samostatně DPH</w:t>
            </w:r>
          </w:p>
        </w:tc>
        <w:tc>
          <w:tcPr>
            <w:tcW w:w="1291" w:type="pct"/>
            <w:tcBorders>
              <w:bottom w:val="single" w:sz="12" w:space="0" w:color="auto"/>
            </w:tcBorders>
            <w:shd w:val="clear" w:color="auto" w:fill="auto"/>
          </w:tcPr>
          <w:p w14:paraId="581CD5CD" w14:textId="77777777" w:rsidR="000A46A2" w:rsidRPr="007311D2" w:rsidRDefault="000A46A2" w:rsidP="00585F07">
            <w:pPr>
              <w:jc w:val="right"/>
              <w:cnfStyle w:val="000000000000" w:firstRow="0" w:lastRow="0" w:firstColumn="0" w:lastColumn="0" w:oddVBand="0" w:evenVBand="0" w:oddHBand="0" w:evenHBand="0" w:firstRowFirstColumn="0" w:firstRowLastColumn="0" w:lastRowFirstColumn="0" w:lastRowLastColumn="0"/>
              <w:rPr>
                <w:rFonts w:asciiTheme="minorHAnsi" w:eastAsia="Arial" w:hAnsiTheme="minorHAnsi" w:cstheme="minorHAnsi"/>
                <w:sz w:val="22"/>
                <w:szCs w:val="22"/>
              </w:rPr>
            </w:pPr>
            <w:r>
              <w:rPr>
                <w:rFonts w:asciiTheme="minorHAnsi" w:eastAsia="Arial" w:hAnsiTheme="minorHAnsi" w:cstheme="minorHAnsi"/>
                <w:sz w:val="22"/>
                <w:szCs w:val="22"/>
              </w:rPr>
              <w:t>0</w:t>
            </w:r>
          </w:p>
        </w:tc>
        <w:tc>
          <w:tcPr>
            <w:tcW w:w="1365" w:type="pct"/>
            <w:tcBorders>
              <w:bottom w:val="single" w:sz="12" w:space="0" w:color="auto"/>
            </w:tcBorders>
            <w:shd w:val="clear" w:color="auto" w:fill="auto"/>
          </w:tcPr>
          <w:p w14:paraId="6542F0FD" w14:textId="1B3C02D9" w:rsidR="000A46A2" w:rsidRPr="007166CB" w:rsidRDefault="000A46A2" w:rsidP="00751005">
            <w:pPr>
              <w:jc w:val="left"/>
              <w:cnfStyle w:val="000000000000" w:firstRow="0" w:lastRow="0" w:firstColumn="0" w:lastColumn="0" w:oddVBand="0" w:evenVBand="0" w:oddHBand="0" w:evenHBand="0" w:firstRowFirstColumn="0" w:firstRowLastColumn="0" w:lastRowFirstColumn="0" w:lastRowLastColumn="0"/>
              <w:rPr>
                <w:rFonts w:asciiTheme="minorHAnsi" w:eastAsia="Arial" w:hAnsiTheme="minorHAnsi" w:cstheme="minorHAnsi"/>
                <w:i/>
                <w:sz w:val="22"/>
                <w:szCs w:val="22"/>
              </w:rPr>
            </w:pPr>
            <w:r w:rsidRPr="007166CB">
              <w:rPr>
                <w:rFonts w:asciiTheme="minorHAnsi" w:eastAsia="Arial" w:hAnsiTheme="minorHAnsi" w:cstheme="minorHAnsi"/>
                <w:i/>
                <w:sz w:val="22"/>
                <w:szCs w:val="22"/>
              </w:rPr>
              <w:t>DPH</w:t>
            </w:r>
            <w:r w:rsidR="00751005">
              <w:rPr>
                <w:rFonts w:asciiTheme="minorHAnsi" w:eastAsia="Arial" w:hAnsiTheme="minorHAnsi" w:cstheme="minorHAnsi"/>
                <w:i/>
                <w:sz w:val="22"/>
                <w:szCs w:val="22"/>
              </w:rPr>
              <w:t xml:space="preserve"> je</w:t>
            </w:r>
            <w:r w:rsidRPr="007166CB">
              <w:rPr>
                <w:rFonts w:asciiTheme="minorHAnsi" w:eastAsia="Arial" w:hAnsiTheme="minorHAnsi" w:cstheme="minorHAnsi"/>
                <w:i/>
                <w:sz w:val="22"/>
                <w:szCs w:val="22"/>
              </w:rPr>
              <w:t xml:space="preserve"> refundovatelná</w:t>
            </w:r>
          </w:p>
        </w:tc>
      </w:tr>
      <w:tr w:rsidR="000A46A2" w:rsidRPr="007311D2" w14:paraId="398CD094" w14:textId="77777777" w:rsidTr="3A247B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9" w:type="pct"/>
            <w:tcBorders>
              <w:top w:val="single" w:sz="12" w:space="0" w:color="auto"/>
            </w:tcBorders>
            <w:shd w:val="clear" w:color="auto" w:fill="F2F2F2" w:themeFill="background1" w:themeFillShade="F2"/>
          </w:tcPr>
          <w:p w14:paraId="0330D414" w14:textId="77777777" w:rsidR="000A46A2" w:rsidRPr="00515F86" w:rsidRDefault="000A46A2" w:rsidP="00585F07">
            <w:pPr>
              <w:rPr>
                <w:rFonts w:asciiTheme="minorHAnsi" w:eastAsia="Arial" w:hAnsiTheme="minorHAnsi" w:cstheme="minorHAnsi"/>
                <w:sz w:val="22"/>
                <w:szCs w:val="22"/>
              </w:rPr>
            </w:pPr>
            <w:r w:rsidRPr="00515F86">
              <w:rPr>
                <w:rFonts w:asciiTheme="minorHAnsi" w:eastAsia="Arial" w:hAnsiTheme="minorHAnsi" w:cstheme="minorHAnsi"/>
                <w:sz w:val="22"/>
                <w:szCs w:val="22"/>
              </w:rPr>
              <w:t>12.</w:t>
            </w:r>
          </w:p>
        </w:tc>
        <w:tc>
          <w:tcPr>
            <w:tcW w:w="1915" w:type="pct"/>
            <w:tcBorders>
              <w:top w:val="single" w:sz="12" w:space="0" w:color="auto"/>
            </w:tcBorders>
            <w:shd w:val="clear" w:color="auto" w:fill="F2F2F2" w:themeFill="background1" w:themeFillShade="F2"/>
          </w:tcPr>
          <w:p w14:paraId="0344C5E2" w14:textId="77777777" w:rsidR="000A46A2" w:rsidRPr="00515F86" w:rsidRDefault="000A46A2" w:rsidP="00585F07">
            <w:pPr>
              <w:cnfStyle w:val="000000100000" w:firstRow="0" w:lastRow="0" w:firstColumn="0" w:lastColumn="0" w:oddVBand="0" w:evenVBand="0" w:oddHBand="1" w:evenHBand="0" w:firstRowFirstColumn="0" w:firstRowLastColumn="0" w:lastRowFirstColumn="0" w:lastRowLastColumn="0"/>
              <w:rPr>
                <w:rFonts w:asciiTheme="minorHAnsi" w:eastAsia="Arial" w:hAnsiTheme="minorHAnsi" w:cstheme="minorHAnsi"/>
                <w:b/>
                <w:bCs/>
                <w:sz w:val="22"/>
                <w:szCs w:val="22"/>
              </w:rPr>
            </w:pPr>
            <w:r>
              <w:rPr>
                <w:rFonts w:asciiTheme="minorHAnsi" w:eastAsia="Arial" w:hAnsiTheme="minorHAnsi" w:cstheme="minorHAnsi"/>
                <w:b/>
                <w:bCs/>
                <w:sz w:val="22"/>
                <w:szCs w:val="22"/>
              </w:rPr>
              <w:t>CELKEM</w:t>
            </w:r>
            <w:r w:rsidRPr="00515F86">
              <w:rPr>
                <w:rFonts w:asciiTheme="minorHAnsi" w:eastAsia="Arial" w:hAnsiTheme="minorHAnsi" w:cstheme="minorHAnsi"/>
                <w:b/>
                <w:bCs/>
                <w:sz w:val="22"/>
                <w:szCs w:val="22"/>
              </w:rPr>
              <w:t xml:space="preserve"> s DPH</w:t>
            </w:r>
          </w:p>
        </w:tc>
        <w:tc>
          <w:tcPr>
            <w:tcW w:w="1291" w:type="pct"/>
            <w:tcBorders>
              <w:top w:val="single" w:sz="12" w:space="0" w:color="auto"/>
            </w:tcBorders>
            <w:shd w:val="clear" w:color="auto" w:fill="auto"/>
          </w:tcPr>
          <w:p w14:paraId="00680E94" w14:textId="270C42A7" w:rsidR="000A46A2" w:rsidRPr="00515F86" w:rsidRDefault="007166CB" w:rsidP="00585F07">
            <w:pPr>
              <w:jc w:val="right"/>
              <w:cnfStyle w:val="000000100000" w:firstRow="0" w:lastRow="0" w:firstColumn="0" w:lastColumn="0" w:oddVBand="0" w:evenVBand="0" w:oddHBand="1" w:evenHBand="0" w:firstRowFirstColumn="0" w:firstRowLastColumn="0" w:lastRowFirstColumn="0" w:lastRowLastColumn="0"/>
              <w:rPr>
                <w:rFonts w:asciiTheme="minorHAnsi" w:eastAsia="Arial" w:hAnsiTheme="minorHAnsi" w:cstheme="minorHAnsi"/>
                <w:b/>
                <w:bCs/>
                <w:sz w:val="22"/>
                <w:szCs w:val="22"/>
              </w:rPr>
            </w:pPr>
            <w:r>
              <w:rPr>
                <w:rFonts w:asciiTheme="minorHAnsi" w:eastAsia="Arial" w:hAnsiTheme="minorHAnsi" w:cstheme="minorHAnsi"/>
                <w:b/>
                <w:bCs/>
                <w:sz w:val="22"/>
                <w:szCs w:val="22"/>
              </w:rPr>
              <w:t>683 692</w:t>
            </w:r>
          </w:p>
        </w:tc>
        <w:tc>
          <w:tcPr>
            <w:tcW w:w="1365" w:type="pct"/>
            <w:tcBorders>
              <w:top w:val="single" w:sz="12" w:space="0" w:color="auto"/>
            </w:tcBorders>
            <w:shd w:val="clear" w:color="auto" w:fill="auto"/>
          </w:tcPr>
          <w:p w14:paraId="3303F2F8" w14:textId="47E65F1F" w:rsidR="000A46A2" w:rsidRPr="007166CB" w:rsidRDefault="000A46A2" w:rsidP="00751005">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bl>
    <w:p w14:paraId="6A2A868E" w14:textId="77777777" w:rsidR="000A46A2" w:rsidRDefault="000A46A2" w:rsidP="004A4C46">
      <w:pPr>
        <w:spacing w:after="0"/>
      </w:pPr>
    </w:p>
    <w:p w14:paraId="784FF26F" w14:textId="3D7614C2" w:rsidR="004A4C46" w:rsidRDefault="004A4C46" w:rsidP="00183828">
      <w:pPr>
        <w:spacing w:line="240" w:lineRule="auto"/>
      </w:pPr>
      <w:r w:rsidRPr="004A4C46">
        <w:t xml:space="preserve">Do celkových investičních nákladů ve smíšené cenové úrovni je zahrnut inflační koeficient ve výši 2 % p. a. pro předpokládané roky realizace 2027 </w:t>
      </w:r>
      <w:r>
        <w:t>–</w:t>
      </w:r>
      <w:r w:rsidRPr="004A4C46">
        <w:t xml:space="preserve"> 2028 a náklady na NAD ve výši 0 Kč. Náklady na integraci příslušných dat do JZP jsou součástí nákladů uvedených v položce 4.</w:t>
      </w:r>
      <w:r>
        <w:t xml:space="preserve"> </w:t>
      </w:r>
      <w:r w:rsidRPr="004A4C46">
        <w:t>Technologie.</w:t>
      </w:r>
    </w:p>
    <w:p w14:paraId="47FA9262" w14:textId="77777777" w:rsidR="004A4C46" w:rsidRDefault="004A4C46" w:rsidP="004A4C46">
      <w:pPr>
        <w:spacing w:after="0"/>
      </w:pPr>
    </w:p>
    <w:p w14:paraId="2C50C8AC" w14:textId="4DA06611" w:rsidR="003645DA" w:rsidRDefault="00C978B1" w:rsidP="009237B2">
      <w:pPr>
        <w:pStyle w:val="Nadpis1"/>
      </w:pPr>
      <w:r>
        <w:t>Další údaje o projektu</w:t>
      </w:r>
    </w:p>
    <w:p w14:paraId="24C6F5EB" w14:textId="71576446" w:rsidR="00D0267D" w:rsidRDefault="00D0267D" w:rsidP="00D0267D">
      <w:pPr>
        <w:pStyle w:val="Nadpis2"/>
      </w:pPr>
      <w:r>
        <w:t>Hodnocení z hlediska environmentálních vlivů</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067"/>
      </w:tblGrid>
      <w:tr w:rsidR="00A30822" w:rsidRPr="005E6070" w14:paraId="7FDFB575" w14:textId="77777777" w:rsidTr="00585F07">
        <w:trPr>
          <w:trHeight w:val="20"/>
          <w:tblHeader/>
        </w:trPr>
        <w:tc>
          <w:tcPr>
            <w:tcW w:w="9067" w:type="dxa"/>
            <w:shd w:val="clear" w:color="auto" w:fill="BDD6EE" w:themeFill="accent1" w:themeFillTint="66"/>
            <w:noWrap/>
            <w:hideMark/>
          </w:tcPr>
          <w:p w14:paraId="5726A047" w14:textId="150E1388" w:rsidR="00A30822" w:rsidRPr="005E6070" w:rsidRDefault="00A30822" w:rsidP="00585F07">
            <w:pPr>
              <w:spacing w:line="240" w:lineRule="auto"/>
              <w:rPr>
                <w:b/>
              </w:rPr>
            </w:pPr>
            <w:r w:rsidRPr="00A5211D">
              <w:rPr>
                <w:b/>
              </w:rPr>
              <w:t xml:space="preserve">Zhodnocení </w:t>
            </w:r>
            <w:r w:rsidR="00795481">
              <w:rPr>
                <w:b/>
              </w:rPr>
              <w:t>navrhovaného řešení akce</w:t>
            </w:r>
            <w:r w:rsidRPr="00A5211D">
              <w:rPr>
                <w:b/>
              </w:rPr>
              <w:t xml:space="preserve"> z hlediska vlivů na životní prostředí </w:t>
            </w:r>
          </w:p>
        </w:tc>
      </w:tr>
      <w:tr w:rsidR="00A30822" w:rsidRPr="00BF5681" w14:paraId="2603803F" w14:textId="77777777" w:rsidTr="00585F07">
        <w:trPr>
          <w:trHeight w:val="20"/>
        </w:trPr>
        <w:tc>
          <w:tcPr>
            <w:tcW w:w="9067" w:type="dxa"/>
            <w:shd w:val="clear" w:color="auto" w:fill="auto"/>
          </w:tcPr>
          <w:p w14:paraId="0FFAE771" w14:textId="38B094B3" w:rsidR="003821A3" w:rsidRDefault="00C653EB" w:rsidP="00183828">
            <w:pPr>
              <w:spacing w:line="240" w:lineRule="auto"/>
              <w:rPr>
                <w:bCs/>
              </w:rPr>
            </w:pPr>
            <w:r w:rsidRPr="00C653EB">
              <w:rPr>
                <w:bCs/>
              </w:rPr>
              <w:t>Předkládaný záměr prochází zvláště chráněným územím P</w:t>
            </w:r>
            <w:r w:rsidR="003821A3">
              <w:rPr>
                <w:bCs/>
              </w:rPr>
              <w:t>řírodní rezervace</w:t>
            </w:r>
            <w:r w:rsidRPr="00C653EB">
              <w:rPr>
                <w:bCs/>
              </w:rPr>
              <w:t xml:space="preserve"> Všetatská černava.</w:t>
            </w:r>
            <w:r>
              <w:rPr>
                <w:bCs/>
              </w:rPr>
              <w:t xml:space="preserve"> Územím již v současnosti prochází </w:t>
            </w:r>
            <w:r w:rsidR="003821A3">
              <w:rPr>
                <w:bCs/>
              </w:rPr>
              <w:t>traťový úsek Všetaty – Dřísy, navržená spojka se do tohoto úseku napojuje. Záměr zároveň prochází Evropsky významnou lokalitou Všetatská černava (vymezena velmi podobně jako uvedená přírodní rezervace).</w:t>
            </w:r>
          </w:p>
          <w:p w14:paraId="1B6F90F8" w14:textId="2BC64F37" w:rsidR="003821A3" w:rsidRPr="00D93DAB" w:rsidRDefault="003821A3" w:rsidP="00183828">
            <w:pPr>
              <w:spacing w:line="240" w:lineRule="auto"/>
              <w:rPr>
                <w:bCs/>
              </w:rPr>
            </w:pPr>
            <w:r>
              <w:rPr>
                <w:bCs/>
              </w:rPr>
              <w:t xml:space="preserve">Před zahájením projektové přípravy bude </w:t>
            </w:r>
            <w:r w:rsidR="009E349B">
              <w:rPr>
                <w:bCs/>
              </w:rPr>
              <w:t xml:space="preserve">záměr projednán s </w:t>
            </w:r>
            <w:r>
              <w:rPr>
                <w:bCs/>
              </w:rPr>
              <w:t>Krajský</w:t>
            </w:r>
            <w:r w:rsidR="009E349B">
              <w:rPr>
                <w:bCs/>
              </w:rPr>
              <w:t>m</w:t>
            </w:r>
            <w:r>
              <w:rPr>
                <w:bCs/>
              </w:rPr>
              <w:t xml:space="preserve"> úřad</w:t>
            </w:r>
            <w:r w:rsidR="009E349B">
              <w:rPr>
                <w:bCs/>
              </w:rPr>
              <w:t>em</w:t>
            </w:r>
            <w:r>
              <w:rPr>
                <w:bCs/>
              </w:rPr>
              <w:t xml:space="preserve"> Středočeského kraje</w:t>
            </w:r>
            <w:r w:rsidR="009E349B">
              <w:rPr>
                <w:bCs/>
              </w:rPr>
              <w:t xml:space="preserve"> </w:t>
            </w:r>
            <w:r w:rsidR="009E349B" w:rsidRPr="009E349B">
              <w:rPr>
                <w:bCs/>
              </w:rPr>
              <w:t>z hlediska možného vlivu na </w:t>
            </w:r>
            <w:r w:rsidR="009E349B">
              <w:rPr>
                <w:bCs/>
              </w:rPr>
              <w:t>výše uvedené lokality</w:t>
            </w:r>
            <w:r w:rsidR="009E349B" w:rsidRPr="009E349B">
              <w:rPr>
                <w:bCs/>
              </w:rPr>
              <w:t>.</w:t>
            </w:r>
            <w:r>
              <w:rPr>
                <w:bCs/>
              </w:rPr>
              <w:t xml:space="preserve"> </w:t>
            </w:r>
            <w:r w:rsidR="009E349B">
              <w:rPr>
                <w:bCs/>
              </w:rPr>
              <w:t>Do projednání bude zahrnuta také Evropsky významná lokalita Písčina u Tišic, kterou prochází související záměr Modernizace trati Praha-Čakovice (mimo) – Neratovice – Všetaty (mimo).</w:t>
            </w:r>
          </w:p>
          <w:p w14:paraId="0E14BF62" w14:textId="77777777" w:rsidR="00C653EB" w:rsidRDefault="00C653EB" w:rsidP="00183828">
            <w:pPr>
              <w:spacing w:line="240" w:lineRule="auto"/>
              <w:rPr>
                <w:sz w:val="18"/>
                <w:szCs w:val="18"/>
              </w:rPr>
            </w:pPr>
            <w:r w:rsidRPr="00C653EB">
              <w:rPr>
                <w:bCs/>
              </w:rPr>
              <w:t>V další</w:t>
            </w:r>
            <w:r>
              <w:rPr>
                <w:bCs/>
              </w:rPr>
              <w:t>m</w:t>
            </w:r>
            <w:r w:rsidRPr="00C653EB">
              <w:rPr>
                <w:bCs/>
              </w:rPr>
              <w:t xml:space="preserve"> stupn</w:t>
            </w:r>
            <w:r>
              <w:rPr>
                <w:bCs/>
              </w:rPr>
              <w:t>i</w:t>
            </w:r>
            <w:r w:rsidRPr="00C653EB">
              <w:rPr>
                <w:bCs/>
              </w:rPr>
              <w:t xml:space="preserve"> p</w:t>
            </w:r>
            <w:r>
              <w:rPr>
                <w:bCs/>
              </w:rPr>
              <w:t>řípravy</w:t>
            </w:r>
            <w:r w:rsidRPr="00C653EB">
              <w:rPr>
                <w:bCs/>
              </w:rPr>
              <w:t xml:space="preserve"> bude třeba provést posouzení vlivu záměru na krajinný ráz, které bude podkladem pro stanovisko dle § 12 zákona č. 114/1992 Sb.</w:t>
            </w:r>
          </w:p>
          <w:p w14:paraId="151D744E" w14:textId="68FF842F" w:rsidR="00A30822" w:rsidRPr="00BC4983" w:rsidRDefault="00C653EB" w:rsidP="00183828">
            <w:pPr>
              <w:spacing w:line="240" w:lineRule="auto"/>
              <w:rPr>
                <w:bCs/>
              </w:rPr>
            </w:pPr>
            <w:bookmarkStart w:id="6" w:name="_Hlk118720182"/>
            <w:r>
              <w:rPr>
                <w:bCs/>
              </w:rPr>
              <w:t>Z</w:t>
            </w:r>
            <w:r w:rsidRPr="00C653EB">
              <w:rPr>
                <w:bCs/>
              </w:rPr>
              <w:t>áměr</w:t>
            </w:r>
            <w:bookmarkEnd w:id="6"/>
            <w:r w:rsidRPr="00C653EB">
              <w:rPr>
                <w:bCs/>
              </w:rPr>
              <w:t xml:space="preserve"> </w:t>
            </w:r>
            <w:r>
              <w:rPr>
                <w:bCs/>
              </w:rPr>
              <w:t>se nachází</w:t>
            </w:r>
            <w:r w:rsidRPr="00C653EB">
              <w:rPr>
                <w:bCs/>
              </w:rPr>
              <w:t xml:space="preserve"> </w:t>
            </w:r>
            <w:r>
              <w:rPr>
                <w:bCs/>
              </w:rPr>
              <w:t>v blízkosti</w:t>
            </w:r>
            <w:r w:rsidRPr="00C653EB">
              <w:rPr>
                <w:bCs/>
              </w:rPr>
              <w:t> úředně stanoven</w:t>
            </w:r>
            <w:r>
              <w:rPr>
                <w:bCs/>
              </w:rPr>
              <w:t>ého</w:t>
            </w:r>
            <w:r w:rsidRPr="00C653EB">
              <w:rPr>
                <w:bCs/>
              </w:rPr>
              <w:t xml:space="preserve"> záplavov</w:t>
            </w:r>
            <w:r>
              <w:rPr>
                <w:bCs/>
              </w:rPr>
              <w:t>ého</w:t>
            </w:r>
            <w:r w:rsidRPr="00C653EB">
              <w:rPr>
                <w:bCs/>
              </w:rPr>
              <w:t xml:space="preserve"> území</w:t>
            </w:r>
            <w:r>
              <w:rPr>
                <w:bCs/>
              </w:rPr>
              <w:t xml:space="preserve"> (</w:t>
            </w:r>
            <w:proofErr w:type="spellStart"/>
            <w:r w:rsidRPr="00C653EB">
              <w:rPr>
                <w:bCs/>
              </w:rPr>
              <w:t>rozlivové</w:t>
            </w:r>
            <w:proofErr w:type="spellEnd"/>
            <w:r w:rsidRPr="00C653EB">
              <w:rPr>
                <w:bCs/>
              </w:rPr>
              <w:t xml:space="preserve"> území Labe na povodeň Q100</w:t>
            </w:r>
            <w:r>
              <w:rPr>
                <w:bCs/>
              </w:rPr>
              <w:t>)</w:t>
            </w:r>
            <w:r w:rsidRPr="00C653EB">
              <w:rPr>
                <w:bCs/>
              </w:rPr>
              <w:t>. Jedním z opatření ochrany před povodněmi je vypracování povodňového plánu stavby. Povodňový plán musí obsahovat konkrétní postupy a pokyny pro činnost na staveništi v</w:t>
            </w:r>
            <w:r>
              <w:rPr>
                <w:bCs/>
              </w:rPr>
              <w:t> </w:t>
            </w:r>
            <w:r w:rsidRPr="00C653EB">
              <w:rPr>
                <w:bCs/>
              </w:rPr>
              <w:t>období před povodní a při povodni. Tento plán bude před zahájením stavby předložen k potvrzení souladu s povodňovými plány obcí dotčených stavbou.</w:t>
            </w:r>
          </w:p>
        </w:tc>
      </w:tr>
    </w:tbl>
    <w:p w14:paraId="020BC138" w14:textId="77777777" w:rsidR="00A30822" w:rsidRDefault="00A30822" w:rsidP="00D76C1D"/>
    <w:p w14:paraId="6D32ACF6" w14:textId="16B85ECD" w:rsidR="000851F0" w:rsidRDefault="000851F0" w:rsidP="000851F0">
      <w:pPr>
        <w:pStyle w:val="Nadpis2"/>
      </w:pPr>
      <w:r>
        <w:lastRenderedPageBreak/>
        <w:t>Požadavky na zabezpečení provozu a údržby</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067"/>
      </w:tblGrid>
      <w:tr w:rsidR="00F43095" w:rsidRPr="005E6070" w14:paraId="3F0B2059" w14:textId="77777777" w:rsidTr="00585F07">
        <w:trPr>
          <w:trHeight w:val="20"/>
          <w:tblHeader/>
        </w:trPr>
        <w:tc>
          <w:tcPr>
            <w:tcW w:w="9067" w:type="dxa"/>
            <w:shd w:val="clear" w:color="auto" w:fill="BDD6EE" w:themeFill="accent1" w:themeFillTint="66"/>
            <w:noWrap/>
            <w:hideMark/>
          </w:tcPr>
          <w:p w14:paraId="2A133CAA" w14:textId="467A45CD" w:rsidR="00F43095" w:rsidRPr="005E6070" w:rsidRDefault="00665BB9" w:rsidP="00585F07">
            <w:pPr>
              <w:spacing w:line="240" w:lineRule="auto"/>
              <w:rPr>
                <w:b/>
              </w:rPr>
            </w:pPr>
            <w:r w:rsidRPr="00665BB9">
              <w:rPr>
                <w:b/>
              </w:rPr>
              <w:t>Požadavky na zabezpečení budoucího provozu a údržby a dělení nákladů dle druhu majetku</w:t>
            </w:r>
          </w:p>
        </w:tc>
      </w:tr>
      <w:tr w:rsidR="00F43095" w:rsidRPr="00BF5681" w14:paraId="396191E6" w14:textId="77777777" w:rsidTr="00585F07">
        <w:trPr>
          <w:trHeight w:val="20"/>
        </w:trPr>
        <w:tc>
          <w:tcPr>
            <w:tcW w:w="9067" w:type="dxa"/>
            <w:shd w:val="clear" w:color="auto" w:fill="auto"/>
          </w:tcPr>
          <w:p w14:paraId="0E9541BD" w14:textId="77777777" w:rsidR="0082446A" w:rsidRDefault="0082446A" w:rsidP="00183828">
            <w:pPr>
              <w:spacing w:line="240" w:lineRule="auto"/>
              <w:rPr>
                <w:sz w:val="18"/>
                <w:szCs w:val="18"/>
              </w:rPr>
            </w:pPr>
            <w:r w:rsidRPr="0082446A">
              <w:t>Technické a finanční požadavky na zabezpečení budoucího provozu stavby budou podrobněji řešeny a popsány v rámci jednotlivých provozních souborů a stavebních objektů v</w:t>
            </w:r>
            <w:r>
              <w:t> navazujícím stupni přípravy,</w:t>
            </w:r>
            <w:r w:rsidRPr="0082446A">
              <w:t xml:space="preserve"> včetně přehledu budoucích správců a dělení nákladů. Stavba nezvýší nároky na počty zaměstnanců spravující</w:t>
            </w:r>
            <w:r>
              <w:t>ch</w:t>
            </w:r>
            <w:r w:rsidRPr="0082446A">
              <w:t xml:space="preserve"> dotčený úsek trati.</w:t>
            </w:r>
          </w:p>
          <w:p w14:paraId="28E4CC77" w14:textId="36EF1F6C" w:rsidR="00F43095" w:rsidRPr="0082446A" w:rsidRDefault="0082446A" w:rsidP="00183828">
            <w:pPr>
              <w:spacing w:line="240" w:lineRule="auto"/>
            </w:pPr>
            <w:r w:rsidRPr="0082446A">
              <w:t>Charakter prací předpokládá, že bude zasahováno do infrastruktury ve správě Správy železnic, státní organizace (vyjma sítí) a dále do pozemních komunikací ve správě Krajské správy a údržby silnic Středočeského kraje, případně jednotlivých obcí (dle druhu pozemní komunikace).</w:t>
            </w:r>
          </w:p>
          <w:tbl>
            <w:tblPr>
              <w:tblStyle w:val="Mkatabulky"/>
              <w:tblW w:w="0" w:type="auto"/>
              <w:tblInd w:w="1621" w:type="dxa"/>
              <w:tblLook w:val="04A0" w:firstRow="1" w:lastRow="0" w:firstColumn="1" w:lastColumn="0" w:noHBand="0" w:noVBand="1"/>
            </w:tblPr>
            <w:tblGrid>
              <w:gridCol w:w="2835"/>
              <w:gridCol w:w="2552"/>
            </w:tblGrid>
            <w:tr w:rsidR="008A358F" w14:paraId="06BDB36F" w14:textId="77777777" w:rsidTr="00C36DB2">
              <w:tc>
                <w:tcPr>
                  <w:tcW w:w="2835" w:type="dxa"/>
                  <w:vAlign w:val="center"/>
                </w:tcPr>
                <w:p w14:paraId="6EAA8D4A" w14:textId="754934BC" w:rsidR="008A358F" w:rsidRPr="008A358F" w:rsidRDefault="008A358F" w:rsidP="008A358F">
                  <w:pPr>
                    <w:spacing w:before="60" w:after="60"/>
                    <w:jc w:val="left"/>
                    <w:rPr>
                      <w:b/>
                      <w:bCs/>
                    </w:rPr>
                  </w:pPr>
                  <w:r w:rsidRPr="008A358F">
                    <w:rPr>
                      <w:b/>
                      <w:bCs/>
                    </w:rPr>
                    <w:t>Část stavby</w:t>
                  </w:r>
                </w:p>
              </w:tc>
              <w:tc>
                <w:tcPr>
                  <w:tcW w:w="2552" w:type="dxa"/>
                  <w:vAlign w:val="center"/>
                </w:tcPr>
                <w:p w14:paraId="1FFB4CCA" w14:textId="0B838306" w:rsidR="008A358F" w:rsidRPr="008A358F" w:rsidRDefault="008A358F" w:rsidP="008A358F">
                  <w:pPr>
                    <w:spacing w:before="60" w:after="60"/>
                    <w:jc w:val="left"/>
                    <w:rPr>
                      <w:b/>
                      <w:bCs/>
                    </w:rPr>
                  </w:pPr>
                  <w:r w:rsidRPr="008A358F">
                    <w:rPr>
                      <w:b/>
                      <w:bCs/>
                    </w:rPr>
                    <w:t>Budoucí správce</w:t>
                  </w:r>
                </w:p>
              </w:tc>
            </w:tr>
            <w:tr w:rsidR="008A358F" w14:paraId="5720D6A0" w14:textId="77777777" w:rsidTr="00C36DB2">
              <w:tc>
                <w:tcPr>
                  <w:tcW w:w="2835" w:type="dxa"/>
                  <w:vAlign w:val="center"/>
                </w:tcPr>
                <w:p w14:paraId="369958D4" w14:textId="46289A58" w:rsidR="008A358F" w:rsidRDefault="008A358F" w:rsidP="008A358F">
                  <w:pPr>
                    <w:spacing w:before="60" w:after="60"/>
                    <w:jc w:val="left"/>
                  </w:pPr>
                  <w:r>
                    <w:t>Zabezpečovací zařízení</w:t>
                  </w:r>
                </w:p>
              </w:tc>
              <w:tc>
                <w:tcPr>
                  <w:tcW w:w="2552" w:type="dxa"/>
                  <w:vAlign w:val="center"/>
                </w:tcPr>
                <w:p w14:paraId="33F19D00" w14:textId="115725C4" w:rsidR="008A358F" w:rsidRDefault="002304DC" w:rsidP="008A358F">
                  <w:pPr>
                    <w:spacing w:before="60" w:after="60"/>
                    <w:jc w:val="left"/>
                  </w:pPr>
                  <w:r>
                    <w:t>Správa železnic</w:t>
                  </w:r>
                </w:p>
              </w:tc>
            </w:tr>
            <w:tr w:rsidR="00C36DB2" w14:paraId="2CA790C0" w14:textId="77777777" w:rsidTr="00C36DB2">
              <w:tc>
                <w:tcPr>
                  <w:tcW w:w="2835" w:type="dxa"/>
                  <w:vAlign w:val="center"/>
                </w:tcPr>
                <w:p w14:paraId="21D698DC" w14:textId="2AE7A799" w:rsidR="00C36DB2" w:rsidRDefault="00C36DB2" w:rsidP="00C36DB2">
                  <w:pPr>
                    <w:spacing w:before="60" w:after="60"/>
                    <w:jc w:val="left"/>
                  </w:pPr>
                  <w:r>
                    <w:t>Sdělovací zařízení</w:t>
                  </w:r>
                </w:p>
              </w:tc>
              <w:tc>
                <w:tcPr>
                  <w:tcW w:w="2552" w:type="dxa"/>
                </w:tcPr>
                <w:p w14:paraId="40B2F681" w14:textId="30A5DAE1" w:rsidR="00C36DB2" w:rsidRDefault="00C36DB2" w:rsidP="00C36DB2">
                  <w:pPr>
                    <w:spacing w:before="60" w:after="60"/>
                    <w:jc w:val="left"/>
                  </w:pPr>
                  <w:r w:rsidRPr="00D17BD6">
                    <w:t>Správa železnic</w:t>
                  </w:r>
                </w:p>
              </w:tc>
            </w:tr>
            <w:tr w:rsidR="00C36DB2" w14:paraId="35D48611" w14:textId="77777777" w:rsidTr="00C36DB2">
              <w:tc>
                <w:tcPr>
                  <w:tcW w:w="2835" w:type="dxa"/>
                  <w:vAlign w:val="center"/>
                </w:tcPr>
                <w:p w14:paraId="3368E014" w14:textId="523906D5" w:rsidR="00C36DB2" w:rsidRDefault="00C36DB2" w:rsidP="00C36DB2">
                  <w:pPr>
                    <w:spacing w:before="60" w:after="60"/>
                    <w:jc w:val="left"/>
                  </w:pPr>
                  <w:r>
                    <w:t>Silnoproudá technologie</w:t>
                  </w:r>
                </w:p>
              </w:tc>
              <w:tc>
                <w:tcPr>
                  <w:tcW w:w="2552" w:type="dxa"/>
                </w:tcPr>
                <w:p w14:paraId="5969404C" w14:textId="65CAC034" w:rsidR="00C36DB2" w:rsidRDefault="00C36DB2" w:rsidP="00C36DB2">
                  <w:pPr>
                    <w:spacing w:before="60" w:after="60"/>
                    <w:jc w:val="left"/>
                  </w:pPr>
                  <w:r w:rsidRPr="00D17BD6">
                    <w:t>Správa železnic</w:t>
                  </w:r>
                </w:p>
              </w:tc>
            </w:tr>
            <w:tr w:rsidR="00C36DB2" w14:paraId="2A668E2A" w14:textId="77777777" w:rsidTr="00C36DB2">
              <w:tc>
                <w:tcPr>
                  <w:tcW w:w="2835" w:type="dxa"/>
                  <w:vAlign w:val="center"/>
                </w:tcPr>
                <w:p w14:paraId="35280794" w14:textId="3270BE8C" w:rsidR="00C36DB2" w:rsidRDefault="00C36DB2" w:rsidP="00C36DB2">
                  <w:pPr>
                    <w:spacing w:before="60" w:after="60"/>
                    <w:jc w:val="left"/>
                  </w:pPr>
                  <w:r>
                    <w:t>Železniční svršek</w:t>
                  </w:r>
                </w:p>
              </w:tc>
              <w:tc>
                <w:tcPr>
                  <w:tcW w:w="2552" w:type="dxa"/>
                </w:tcPr>
                <w:p w14:paraId="5BB78497" w14:textId="2E3C7C42" w:rsidR="00C36DB2" w:rsidRDefault="00C36DB2" w:rsidP="00C36DB2">
                  <w:pPr>
                    <w:spacing w:before="60" w:after="60"/>
                    <w:jc w:val="left"/>
                  </w:pPr>
                  <w:r w:rsidRPr="00D17BD6">
                    <w:t>Správa železnic</w:t>
                  </w:r>
                </w:p>
              </w:tc>
            </w:tr>
            <w:tr w:rsidR="00C36DB2" w14:paraId="2E920A3D" w14:textId="77777777" w:rsidTr="00C36DB2">
              <w:tc>
                <w:tcPr>
                  <w:tcW w:w="2835" w:type="dxa"/>
                  <w:vAlign w:val="center"/>
                </w:tcPr>
                <w:p w14:paraId="3B68BE05" w14:textId="5AA4B5B6" w:rsidR="00C36DB2" w:rsidRDefault="00C36DB2" w:rsidP="00C36DB2">
                  <w:pPr>
                    <w:spacing w:before="60" w:after="60"/>
                    <w:jc w:val="left"/>
                  </w:pPr>
                  <w:r>
                    <w:t>Železniční spodek</w:t>
                  </w:r>
                </w:p>
              </w:tc>
              <w:tc>
                <w:tcPr>
                  <w:tcW w:w="2552" w:type="dxa"/>
                </w:tcPr>
                <w:p w14:paraId="3C4E9AB6" w14:textId="6177C2FF" w:rsidR="00C36DB2" w:rsidRDefault="00C36DB2" w:rsidP="00C36DB2">
                  <w:pPr>
                    <w:spacing w:before="60" w:after="60"/>
                    <w:jc w:val="left"/>
                  </w:pPr>
                  <w:r w:rsidRPr="00D17BD6">
                    <w:t>Správa železnic</w:t>
                  </w:r>
                </w:p>
              </w:tc>
            </w:tr>
            <w:tr w:rsidR="00C36DB2" w14:paraId="3BFB0896" w14:textId="77777777" w:rsidTr="00C36DB2">
              <w:tc>
                <w:tcPr>
                  <w:tcW w:w="2835" w:type="dxa"/>
                  <w:vAlign w:val="center"/>
                </w:tcPr>
                <w:p w14:paraId="1D9B3118" w14:textId="05DD0187" w:rsidR="00C36DB2" w:rsidRDefault="00C36DB2" w:rsidP="00C36DB2">
                  <w:pPr>
                    <w:spacing w:before="60" w:after="60"/>
                    <w:jc w:val="left"/>
                  </w:pPr>
                  <w:r>
                    <w:t>Mosty, propustky</w:t>
                  </w:r>
                </w:p>
              </w:tc>
              <w:tc>
                <w:tcPr>
                  <w:tcW w:w="2552" w:type="dxa"/>
                </w:tcPr>
                <w:p w14:paraId="65B71705" w14:textId="4A80945E" w:rsidR="00C36DB2" w:rsidRDefault="00C36DB2" w:rsidP="00C36DB2">
                  <w:pPr>
                    <w:spacing w:before="60" w:after="60"/>
                    <w:jc w:val="left"/>
                  </w:pPr>
                  <w:r w:rsidRPr="00D17BD6">
                    <w:t>Správa železnic</w:t>
                  </w:r>
                </w:p>
              </w:tc>
            </w:tr>
            <w:tr w:rsidR="002304DC" w14:paraId="5CCD59A6" w14:textId="77777777" w:rsidTr="00C36DB2">
              <w:tc>
                <w:tcPr>
                  <w:tcW w:w="2835" w:type="dxa"/>
                  <w:vAlign w:val="center"/>
                </w:tcPr>
                <w:p w14:paraId="04FA98D2" w14:textId="0FA20708" w:rsidR="002304DC" w:rsidRDefault="002304DC" w:rsidP="008A358F">
                  <w:pPr>
                    <w:spacing w:before="60" w:after="60"/>
                    <w:jc w:val="left"/>
                  </w:pPr>
                  <w:r>
                    <w:t>Inženýrské sítě</w:t>
                  </w:r>
                </w:p>
              </w:tc>
              <w:tc>
                <w:tcPr>
                  <w:tcW w:w="2552" w:type="dxa"/>
                  <w:vAlign w:val="center"/>
                </w:tcPr>
                <w:p w14:paraId="1CC56C02" w14:textId="4EEE5957" w:rsidR="002304DC" w:rsidRDefault="002304DC" w:rsidP="008A358F">
                  <w:pPr>
                    <w:spacing w:before="60" w:after="60"/>
                    <w:jc w:val="left"/>
                  </w:pPr>
                  <w:r>
                    <w:t>Ostatní</w:t>
                  </w:r>
                </w:p>
              </w:tc>
            </w:tr>
            <w:tr w:rsidR="002304DC" w14:paraId="43EA773F" w14:textId="77777777" w:rsidTr="00C36DB2">
              <w:tc>
                <w:tcPr>
                  <w:tcW w:w="2835" w:type="dxa"/>
                  <w:vAlign w:val="center"/>
                </w:tcPr>
                <w:p w14:paraId="1C3B284E" w14:textId="0DD460A3" w:rsidR="002304DC" w:rsidRDefault="002304DC" w:rsidP="008A358F">
                  <w:pPr>
                    <w:spacing w:before="60" w:after="60"/>
                    <w:jc w:val="left"/>
                  </w:pPr>
                  <w:r>
                    <w:t>Pozemní komunikace</w:t>
                  </w:r>
                </w:p>
              </w:tc>
              <w:tc>
                <w:tcPr>
                  <w:tcW w:w="2552" w:type="dxa"/>
                  <w:vAlign w:val="center"/>
                </w:tcPr>
                <w:p w14:paraId="2486013E" w14:textId="6CD76008" w:rsidR="002304DC" w:rsidRDefault="002304DC" w:rsidP="008A358F">
                  <w:pPr>
                    <w:spacing w:before="60" w:after="60"/>
                    <w:jc w:val="left"/>
                  </w:pPr>
                  <w:r>
                    <w:t>Ostatní</w:t>
                  </w:r>
                </w:p>
              </w:tc>
            </w:tr>
            <w:tr w:rsidR="00C36DB2" w14:paraId="50C19B9A" w14:textId="77777777" w:rsidTr="00C36DB2">
              <w:tc>
                <w:tcPr>
                  <w:tcW w:w="2835" w:type="dxa"/>
                  <w:vAlign w:val="center"/>
                </w:tcPr>
                <w:p w14:paraId="1D3B1F0C" w14:textId="7048AE75" w:rsidR="00C36DB2" w:rsidRDefault="00C36DB2" w:rsidP="00C36DB2">
                  <w:pPr>
                    <w:spacing w:before="60" w:after="60"/>
                    <w:jc w:val="left"/>
                  </w:pPr>
                  <w:r>
                    <w:t>Pozemní stavební objekty</w:t>
                  </w:r>
                </w:p>
              </w:tc>
              <w:tc>
                <w:tcPr>
                  <w:tcW w:w="2552" w:type="dxa"/>
                </w:tcPr>
                <w:p w14:paraId="0022C3E3" w14:textId="6B1C7440" w:rsidR="00C36DB2" w:rsidRDefault="00C36DB2" w:rsidP="00C36DB2">
                  <w:pPr>
                    <w:spacing w:before="60" w:after="60"/>
                    <w:jc w:val="left"/>
                  </w:pPr>
                  <w:r w:rsidRPr="00B302F8">
                    <w:t>Správa železnic</w:t>
                  </w:r>
                </w:p>
              </w:tc>
            </w:tr>
            <w:tr w:rsidR="00C36DB2" w14:paraId="6312983C" w14:textId="77777777" w:rsidTr="00C36DB2">
              <w:tc>
                <w:tcPr>
                  <w:tcW w:w="2835" w:type="dxa"/>
                  <w:vAlign w:val="center"/>
                </w:tcPr>
                <w:p w14:paraId="6DCD27BE" w14:textId="5A60B05B" w:rsidR="00C36DB2" w:rsidRDefault="00C36DB2" w:rsidP="00C36DB2">
                  <w:pPr>
                    <w:spacing w:before="60" w:after="60"/>
                    <w:jc w:val="left"/>
                  </w:pPr>
                  <w:r>
                    <w:t>Trakční zařízení</w:t>
                  </w:r>
                </w:p>
              </w:tc>
              <w:tc>
                <w:tcPr>
                  <w:tcW w:w="2552" w:type="dxa"/>
                </w:tcPr>
                <w:p w14:paraId="727A90D1" w14:textId="3DA49889" w:rsidR="00C36DB2" w:rsidRDefault="00C36DB2" w:rsidP="00C36DB2">
                  <w:pPr>
                    <w:spacing w:before="60" w:after="60"/>
                    <w:jc w:val="left"/>
                  </w:pPr>
                  <w:r w:rsidRPr="00B302F8">
                    <w:t>Správa železnic</w:t>
                  </w:r>
                </w:p>
              </w:tc>
            </w:tr>
            <w:tr w:rsidR="00C36DB2" w14:paraId="3950B0B2" w14:textId="77777777" w:rsidTr="00C36DB2">
              <w:tc>
                <w:tcPr>
                  <w:tcW w:w="2835" w:type="dxa"/>
                  <w:vAlign w:val="center"/>
                </w:tcPr>
                <w:p w14:paraId="60140356" w14:textId="4E77E0E5" w:rsidR="00C36DB2" w:rsidRDefault="00C36DB2" w:rsidP="00C36DB2">
                  <w:pPr>
                    <w:spacing w:before="60" w:after="60"/>
                    <w:jc w:val="left"/>
                  </w:pPr>
                  <w:r>
                    <w:t>Energetická zařízení</w:t>
                  </w:r>
                </w:p>
              </w:tc>
              <w:tc>
                <w:tcPr>
                  <w:tcW w:w="2552" w:type="dxa"/>
                </w:tcPr>
                <w:p w14:paraId="7AD0DA39" w14:textId="6E7C9F27" w:rsidR="00C36DB2" w:rsidRDefault="00C36DB2" w:rsidP="00C36DB2">
                  <w:pPr>
                    <w:spacing w:before="60" w:after="60"/>
                    <w:jc w:val="left"/>
                  </w:pPr>
                  <w:r w:rsidRPr="00B302F8">
                    <w:t>Správa železnic</w:t>
                  </w:r>
                </w:p>
              </w:tc>
            </w:tr>
          </w:tbl>
          <w:p w14:paraId="6C84B005" w14:textId="77777777" w:rsidR="00F43095" w:rsidRPr="00A5211D" w:rsidRDefault="00F43095" w:rsidP="00585F07"/>
        </w:tc>
      </w:tr>
    </w:tbl>
    <w:p w14:paraId="73864450" w14:textId="77777777" w:rsidR="000851F0" w:rsidRDefault="000851F0" w:rsidP="000851F0"/>
    <w:p w14:paraId="40E0ED89" w14:textId="77777777" w:rsidR="000851F0" w:rsidRDefault="000851F0" w:rsidP="000851F0">
      <w:pPr>
        <w:pStyle w:val="Nadpis2"/>
      </w:pPr>
      <w:r>
        <w:t>Majetkoprávní vztahy</w:t>
      </w:r>
    </w:p>
    <w:tbl>
      <w:tblPr>
        <w:tblStyle w:val="Mkatabulky"/>
        <w:tblW w:w="5000" w:type="pct"/>
        <w:tblLook w:val="04A0" w:firstRow="1" w:lastRow="0" w:firstColumn="1" w:lastColumn="0" w:noHBand="0" w:noVBand="1"/>
      </w:tblPr>
      <w:tblGrid>
        <w:gridCol w:w="9062"/>
      </w:tblGrid>
      <w:tr w:rsidR="00B51050" w:rsidRPr="000F5938" w14:paraId="6ACF2EBB" w14:textId="77777777" w:rsidTr="00585F07">
        <w:trPr>
          <w:tblHeader/>
        </w:trPr>
        <w:tc>
          <w:tcPr>
            <w:tcW w:w="5000" w:type="pct"/>
            <w:shd w:val="clear" w:color="auto" w:fill="BDD6EE" w:themeFill="accent1" w:themeFillTint="66"/>
          </w:tcPr>
          <w:p w14:paraId="2FD71F0E" w14:textId="52311321" w:rsidR="00B51050" w:rsidRPr="000F5938" w:rsidRDefault="0082285E" w:rsidP="00585F07">
            <w:pPr>
              <w:rPr>
                <w:b/>
              </w:rPr>
            </w:pPr>
            <w:r>
              <w:rPr>
                <w:b/>
              </w:rPr>
              <w:t>Popis majetkoprávních vztahů</w:t>
            </w:r>
          </w:p>
        </w:tc>
      </w:tr>
      <w:tr w:rsidR="00B51050" w:rsidRPr="000F5938" w14:paraId="2FC1279A" w14:textId="77777777" w:rsidTr="00585F07">
        <w:trPr>
          <w:tblHeader/>
        </w:trPr>
        <w:tc>
          <w:tcPr>
            <w:tcW w:w="5000" w:type="pct"/>
          </w:tcPr>
          <w:p w14:paraId="2940A330" w14:textId="6073F936" w:rsidR="00AF5E61" w:rsidRPr="00725740" w:rsidRDefault="00725740" w:rsidP="00183828">
            <w:r>
              <w:t>Rozhodující část Tišické spojky vede po pozemcích, které jsou v současné době využívány k zemědělství. Tyto pozemky budou muset být před realizací projektu vykoupeny.</w:t>
            </w:r>
          </w:p>
        </w:tc>
      </w:tr>
    </w:tbl>
    <w:p w14:paraId="713F49AB" w14:textId="1B30C0A9" w:rsidR="00A25AA9" w:rsidRDefault="00A25AA9" w:rsidP="003645DA"/>
    <w:p w14:paraId="5E039BA7" w14:textId="143ED056" w:rsidR="002250D8" w:rsidRDefault="002250D8" w:rsidP="009237B2">
      <w:pPr>
        <w:pStyle w:val="Nadpis1"/>
      </w:pPr>
      <w:r w:rsidRPr="002250D8">
        <w:t>P</w:t>
      </w:r>
      <w:r w:rsidR="00571AB1">
        <w:t>řílohy</w:t>
      </w:r>
    </w:p>
    <w:p w14:paraId="4FFD3C5A" w14:textId="77777777" w:rsidR="00571AB1" w:rsidRPr="007166CB" w:rsidRDefault="00571AB1" w:rsidP="00571AB1">
      <w:pPr>
        <w:rPr>
          <w:i/>
          <w:iCs/>
        </w:rPr>
      </w:pPr>
      <w:r w:rsidRPr="007166CB">
        <w:rPr>
          <w:i/>
          <w:iCs/>
        </w:rPr>
        <w:t>Pořadí a označení příloh se při zpracování záměru projektu nemění; pokud se některá z nich k záměru projektu nevztahuje, daný řádek nemažte a zvolte položku „Netýká se“.</w:t>
      </w:r>
    </w:p>
    <w:tbl>
      <w:tblPr>
        <w:tblStyle w:val="Mkatabulky"/>
        <w:tblW w:w="5000" w:type="pct"/>
        <w:tblLook w:val="04A0" w:firstRow="1" w:lastRow="0" w:firstColumn="1" w:lastColumn="0" w:noHBand="0" w:noVBand="1"/>
      </w:tblPr>
      <w:tblGrid>
        <w:gridCol w:w="1054"/>
        <w:gridCol w:w="6467"/>
        <w:gridCol w:w="1541"/>
      </w:tblGrid>
      <w:tr w:rsidR="002250D8" w:rsidRPr="00A5211D" w14:paraId="3B00EAE0" w14:textId="77777777" w:rsidTr="6627000A">
        <w:trPr>
          <w:tblHeader/>
        </w:trPr>
        <w:tc>
          <w:tcPr>
            <w:tcW w:w="5000" w:type="pct"/>
            <w:gridSpan w:val="3"/>
            <w:shd w:val="clear" w:color="auto" w:fill="BDD6EE" w:themeFill="accent1" w:themeFillTint="66"/>
          </w:tcPr>
          <w:p w14:paraId="4B774E3A" w14:textId="0FEDB5C2" w:rsidR="002250D8" w:rsidRPr="00A5211D" w:rsidRDefault="002250D8" w:rsidP="00F8475C">
            <w:pPr>
              <w:rPr>
                <w:b/>
              </w:rPr>
            </w:pPr>
            <w:bookmarkStart w:id="7" w:name="_Toc509581716"/>
            <w:bookmarkStart w:id="8" w:name="_Toc513797186"/>
            <w:r w:rsidRPr="00A5211D">
              <w:rPr>
                <w:b/>
              </w:rPr>
              <w:t>Přílohy</w:t>
            </w:r>
            <w:bookmarkEnd w:id="7"/>
            <w:bookmarkEnd w:id="8"/>
          </w:p>
        </w:tc>
      </w:tr>
      <w:tr w:rsidR="002250D8" w:rsidRPr="00F55646" w14:paraId="01B99013" w14:textId="77777777" w:rsidTr="000F754B">
        <w:trPr>
          <w:tblHeader/>
        </w:trPr>
        <w:tc>
          <w:tcPr>
            <w:tcW w:w="582" w:type="pct"/>
            <w:shd w:val="clear" w:color="auto" w:fill="F2F2F2" w:themeFill="background1" w:themeFillShade="F2"/>
          </w:tcPr>
          <w:p w14:paraId="2D3F6B1E" w14:textId="2A2366EC" w:rsidR="002250D8" w:rsidRPr="00F55646" w:rsidRDefault="002E5939" w:rsidP="00F8475C">
            <w:pPr>
              <w:rPr>
                <w:b/>
                <w:bCs/>
              </w:rPr>
            </w:pPr>
            <w:r w:rsidRPr="00F55646">
              <w:rPr>
                <w:b/>
                <w:bCs/>
              </w:rPr>
              <w:t>O</w:t>
            </w:r>
            <w:r w:rsidR="002E574C" w:rsidRPr="00F55646">
              <w:rPr>
                <w:b/>
                <w:bCs/>
              </w:rPr>
              <w:t>značení</w:t>
            </w:r>
          </w:p>
        </w:tc>
        <w:tc>
          <w:tcPr>
            <w:tcW w:w="3568" w:type="pct"/>
            <w:shd w:val="clear" w:color="auto" w:fill="F2F2F2" w:themeFill="background1" w:themeFillShade="F2"/>
          </w:tcPr>
          <w:p w14:paraId="74FD2C45" w14:textId="483796C3" w:rsidR="002250D8" w:rsidRPr="00F55646" w:rsidRDefault="3217D5A3" w:rsidP="00F8475C">
            <w:pPr>
              <w:rPr>
                <w:b/>
                <w:bCs/>
              </w:rPr>
            </w:pPr>
            <w:r w:rsidRPr="581BACBC">
              <w:rPr>
                <w:b/>
                <w:bCs/>
              </w:rPr>
              <w:t>N</w:t>
            </w:r>
            <w:r w:rsidR="002250D8" w:rsidRPr="581BACBC">
              <w:rPr>
                <w:b/>
                <w:bCs/>
              </w:rPr>
              <w:t xml:space="preserve">ázev </w:t>
            </w:r>
            <w:r w:rsidR="05AD6153" w:rsidRPr="581BACBC">
              <w:rPr>
                <w:b/>
                <w:bCs/>
              </w:rPr>
              <w:t xml:space="preserve">a popis </w:t>
            </w:r>
            <w:r w:rsidR="002250D8" w:rsidRPr="581BACBC">
              <w:rPr>
                <w:b/>
                <w:bCs/>
              </w:rPr>
              <w:t>přílohy</w:t>
            </w:r>
          </w:p>
        </w:tc>
        <w:tc>
          <w:tcPr>
            <w:tcW w:w="850" w:type="pct"/>
            <w:shd w:val="clear" w:color="auto" w:fill="F2F2F2" w:themeFill="background1" w:themeFillShade="F2"/>
          </w:tcPr>
          <w:p w14:paraId="2F98531F" w14:textId="45E69235" w:rsidR="002250D8" w:rsidRPr="00F55646" w:rsidRDefault="006565E9" w:rsidP="00F8475C">
            <w:pPr>
              <w:rPr>
                <w:b/>
                <w:bCs/>
              </w:rPr>
            </w:pPr>
            <w:r w:rsidRPr="00F55646">
              <w:rPr>
                <w:b/>
                <w:bCs/>
              </w:rPr>
              <w:t xml:space="preserve">Součást </w:t>
            </w:r>
            <w:r w:rsidR="00DC06A2" w:rsidRPr="00F55646">
              <w:rPr>
                <w:b/>
                <w:bCs/>
              </w:rPr>
              <w:t>ZP</w:t>
            </w:r>
          </w:p>
        </w:tc>
      </w:tr>
      <w:tr w:rsidR="002250D8" w:rsidRPr="008D0F1E" w14:paraId="61B481BC" w14:textId="77777777" w:rsidTr="000F754B">
        <w:tc>
          <w:tcPr>
            <w:tcW w:w="582" w:type="pct"/>
          </w:tcPr>
          <w:p w14:paraId="46D8EB24" w14:textId="5524BEB7" w:rsidR="002250D8" w:rsidRPr="008D0F1E" w:rsidRDefault="00BB2D70" w:rsidP="00F8475C">
            <w:r>
              <w:t>A</w:t>
            </w:r>
          </w:p>
        </w:tc>
        <w:tc>
          <w:tcPr>
            <w:tcW w:w="3568" w:type="pct"/>
          </w:tcPr>
          <w:p w14:paraId="0AC18D70" w14:textId="4B755230" w:rsidR="002250D8" w:rsidRPr="008D0F1E" w:rsidRDefault="00BC4B89" w:rsidP="00F8475C">
            <w:r>
              <w:t>Formuláře VZOR 80 – 83</w:t>
            </w:r>
          </w:p>
        </w:tc>
        <w:sdt>
          <w:sdtPr>
            <w:rPr>
              <w:i/>
              <w:iCs/>
            </w:rPr>
            <w:alias w:val="Zvolte položku"/>
            <w:tag w:val="Zvolte položku"/>
            <w:id w:val="-450624137"/>
            <w:comboBox>
              <w:listItem w:displayText="ANO" w:value="Příloha je součástí "/>
              <w:listItem w:displayText="Netýká se" w:value="Příloha není součástí"/>
            </w:comboBox>
          </w:sdtPr>
          <w:sdtEndPr/>
          <w:sdtContent>
            <w:tc>
              <w:tcPr>
                <w:tcW w:w="850" w:type="pct"/>
              </w:tcPr>
              <w:p w14:paraId="3E5BC57F" w14:textId="14C66DE7" w:rsidR="002250D8" w:rsidRPr="00EE17CD" w:rsidRDefault="00EE17CD" w:rsidP="00F8475C">
                <w:pPr>
                  <w:rPr>
                    <w:i/>
                    <w:iCs/>
                  </w:rPr>
                </w:pPr>
                <w:r w:rsidRPr="00EE17CD">
                  <w:rPr>
                    <w:i/>
                    <w:iCs/>
                  </w:rPr>
                  <w:t>ANO</w:t>
                </w:r>
              </w:p>
            </w:tc>
          </w:sdtContent>
        </w:sdt>
      </w:tr>
      <w:tr w:rsidR="00FD215C" w:rsidRPr="008D0F1E" w14:paraId="7E0B4F12" w14:textId="77777777" w:rsidTr="000F754B">
        <w:tc>
          <w:tcPr>
            <w:tcW w:w="582" w:type="pct"/>
          </w:tcPr>
          <w:p w14:paraId="7C566E33" w14:textId="379323F0" w:rsidR="00FD215C" w:rsidRDefault="009958B1" w:rsidP="00FD215C">
            <w:r>
              <w:t>B</w:t>
            </w:r>
          </w:p>
        </w:tc>
        <w:tc>
          <w:tcPr>
            <w:tcW w:w="3568" w:type="pct"/>
          </w:tcPr>
          <w:p w14:paraId="1ACEA84C" w14:textId="5FA35601" w:rsidR="00FD215C" w:rsidRDefault="00FD215C" w:rsidP="00FD215C">
            <w:r>
              <w:t>Požadavky na ITS (pokud není uvedeno v bodě 3.4 záměru projektu</w:t>
            </w:r>
            <w:r w:rsidR="6E117B89">
              <w:t>)</w:t>
            </w:r>
          </w:p>
        </w:tc>
        <w:sdt>
          <w:sdtPr>
            <w:rPr>
              <w:i/>
              <w:iCs/>
            </w:rPr>
            <w:alias w:val="Zvolte položku"/>
            <w:tag w:val="Zvolte položku"/>
            <w:id w:val="-965729723"/>
            <w:comboBox>
              <w:listItem w:displayText="ANO" w:value="Příloha je součástí "/>
              <w:listItem w:displayText="Netýká se" w:value="Příloha není součástí"/>
            </w:comboBox>
          </w:sdtPr>
          <w:sdtEndPr/>
          <w:sdtContent>
            <w:tc>
              <w:tcPr>
                <w:tcW w:w="850" w:type="pct"/>
              </w:tcPr>
              <w:p w14:paraId="051B2947" w14:textId="5EF92C71" w:rsidR="00FD215C" w:rsidRPr="00EE17CD" w:rsidRDefault="00EE17CD" w:rsidP="00FD215C">
                <w:pPr>
                  <w:rPr>
                    <w:i/>
                    <w:iCs/>
                  </w:rPr>
                </w:pPr>
                <w:r w:rsidRPr="00EE17CD">
                  <w:rPr>
                    <w:i/>
                    <w:iCs/>
                  </w:rPr>
                  <w:t>Netýká se</w:t>
                </w:r>
              </w:p>
            </w:tc>
          </w:sdtContent>
        </w:sdt>
      </w:tr>
      <w:tr w:rsidR="00FD215C" w:rsidRPr="008D0F1E" w14:paraId="23D81554" w14:textId="77777777" w:rsidTr="000F754B">
        <w:tc>
          <w:tcPr>
            <w:tcW w:w="582" w:type="pct"/>
          </w:tcPr>
          <w:p w14:paraId="14518741" w14:textId="192ABD5E" w:rsidR="00FD215C" w:rsidRPr="008D0F1E" w:rsidRDefault="009958B1" w:rsidP="00FD215C">
            <w:r>
              <w:t>C</w:t>
            </w:r>
          </w:p>
        </w:tc>
        <w:tc>
          <w:tcPr>
            <w:tcW w:w="3568" w:type="pct"/>
          </w:tcPr>
          <w:p w14:paraId="16BE835C" w14:textId="0090D690" w:rsidR="00FD215C" w:rsidRPr="008D0F1E" w:rsidRDefault="00FD215C" w:rsidP="00FD215C">
            <w:r w:rsidRPr="00972CBB">
              <w:t>Dokumentace hodnocení ekonomické efektivnosti projektu nebo analýzy výsledků a dopadů projektu</w:t>
            </w:r>
          </w:p>
        </w:tc>
        <w:sdt>
          <w:sdtPr>
            <w:rPr>
              <w:i/>
              <w:iCs/>
            </w:rPr>
            <w:alias w:val="Zvolte položku"/>
            <w:tag w:val="Zvolte položku"/>
            <w:id w:val="64001477"/>
            <w:comboBox>
              <w:listItem w:displayText="ANO" w:value="Příloha je součástí "/>
              <w:listItem w:displayText="Netýká se" w:value="Příloha není součástí"/>
            </w:comboBox>
          </w:sdtPr>
          <w:sdtEndPr/>
          <w:sdtContent>
            <w:tc>
              <w:tcPr>
                <w:tcW w:w="850" w:type="pct"/>
              </w:tcPr>
              <w:p w14:paraId="25C2237C" w14:textId="7EBF6689" w:rsidR="00FD215C" w:rsidRPr="00EE17CD" w:rsidRDefault="00EE17CD" w:rsidP="00FD215C">
                <w:r w:rsidRPr="00EE17CD">
                  <w:rPr>
                    <w:i/>
                    <w:iCs/>
                  </w:rPr>
                  <w:t>ANO</w:t>
                </w:r>
              </w:p>
            </w:tc>
          </w:sdtContent>
        </w:sdt>
      </w:tr>
      <w:tr w:rsidR="00FD215C" w:rsidRPr="008D0F1E" w14:paraId="64EE7E7D" w14:textId="77777777" w:rsidTr="000F754B">
        <w:tc>
          <w:tcPr>
            <w:tcW w:w="582" w:type="pct"/>
          </w:tcPr>
          <w:p w14:paraId="64E1F903" w14:textId="17AF7AF2" w:rsidR="00FD215C" w:rsidRPr="008D0F1E" w:rsidRDefault="009958B1" w:rsidP="00FD215C">
            <w:r>
              <w:t>D</w:t>
            </w:r>
          </w:p>
        </w:tc>
        <w:tc>
          <w:tcPr>
            <w:tcW w:w="3568" w:type="pct"/>
          </w:tcPr>
          <w:p w14:paraId="4C1AE1A0" w14:textId="6BE24BCC" w:rsidR="00FD215C" w:rsidRPr="008D0F1E" w:rsidRDefault="00FD215C" w:rsidP="00FD215C">
            <w:r>
              <w:t>Oponentní posudek</w:t>
            </w:r>
          </w:p>
        </w:tc>
        <w:sdt>
          <w:sdtPr>
            <w:rPr>
              <w:i/>
              <w:iCs/>
            </w:rPr>
            <w:alias w:val="Zvolte položku"/>
            <w:tag w:val="Zvolte položku"/>
            <w:id w:val="1972789059"/>
            <w:comboBox>
              <w:listItem w:displayText="ANO" w:value="Příloha je součástí "/>
              <w:listItem w:displayText="Netýká se" w:value="Příloha není součástí"/>
            </w:comboBox>
          </w:sdtPr>
          <w:sdtEndPr/>
          <w:sdtContent>
            <w:tc>
              <w:tcPr>
                <w:tcW w:w="850" w:type="pct"/>
              </w:tcPr>
              <w:p w14:paraId="3E4E826E" w14:textId="21A5813B" w:rsidR="00FD215C" w:rsidRPr="00EE17CD" w:rsidRDefault="00EE17CD" w:rsidP="00FD215C">
                <w:r w:rsidRPr="00EE17CD">
                  <w:rPr>
                    <w:i/>
                    <w:iCs/>
                  </w:rPr>
                  <w:t>ANO</w:t>
                </w:r>
              </w:p>
            </w:tc>
          </w:sdtContent>
        </w:sdt>
      </w:tr>
      <w:tr w:rsidR="00C6429B" w:rsidRPr="008D0F1E" w14:paraId="677BCF72" w14:textId="77777777" w:rsidTr="000F754B">
        <w:tc>
          <w:tcPr>
            <w:tcW w:w="582" w:type="pct"/>
          </w:tcPr>
          <w:p w14:paraId="2E6759BC" w14:textId="60CEDC3C" w:rsidR="00C6429B" w:rsidRPr="008D0F1E" w:rsidRDefault="00C6429B" w:rsidP="005D2CAA">
            <w:r>
              <w:lastRenderedPageBreak/>
              <w:t>E</w:t>
            </w:r>
          </w:p>
        </w:tc>
        <w:tc>
          <w:tcPr>
            <w:tcW w:w="3568" w:type="pct"/>
          </w:tcPr>
          <w:p w14:paraId="4DEA5A63" w14:textId="65567227" w:rsidR="00C6429B" w:rsidRPr="008D0F1E" w:rsidRDefault="00C6429B" w:rsidP="005D2CAA">
            <w:r>
              <w:t>Vyjádření investora k oponentnímu posudku</w:t>
            </w:r>
          </w:p>
        </w:tc>
        <w:sdt>
          <w:sdtPr>
            <w:rPr>
              <w:i/>
              <w:iCs/>
            </w:rPr>
            <w:alias w:val="Zvolte položku"/>
            <w:tag w:val="Zvolte položku"/>
            <w:id w:val="-1443836669"/>
            <w:comboBox>
              <w:listItem w:displayText="ANO" w:value="Příloha je součástí "/>
              <w:listItem w:displayText="Netýká se" w:value="Příloha není součástí"/>
            </w:comboBox>
          </w:sdtPr>
          <w:sdtEndPr/>
          <w:sdtContent>
            <w:tc>
              <w:tcPr>
                <w:tcW w:w="850" w:type="pct"/>
              </w:tcPr>
              <w:p w14:paraId="329A60AE" w14:textId="3D543F0B" w:rsidR="00C6429B" w:rsidRPr="00EE17CD" w:rsidRDefault="00EE17CD" w:rsidP="005D2CAA">
                <w:r w:rsidRPr="00EE17CD">
                  <w:rPr>
                    <w:i/>
                    <w:iCs/>
                  </w:rPr>
                  <w:t>ANO</w:t>
                </w:r>
              </w:p>
            </w:tc>
          </w:sdtContent>
        </w:sdt>
      </w:tr>
      <w:tr w:rsidR="00FD215C" w:rsidRPr="008D0F1E" w14:paraId="1FF0D9E6" w14:textId="77777777" w:rsidTr="000F754B">
        <w:tc>
          <w:tcPr>
            <w:tcW w:w="582" w:type="pct"/>
          </w:tcPr>
          <w:p w14:paraId="2C777B05" w14:textId="27C25292" w:rsidR="00FD215C" w:rsidRPr="008D0F1E" w:rsidRDefault="004C27DE" w:rsidP="00FD215C">
            <w:r>
              <w:t>F</w:t>
            </w:r>
          </w:p>
        </w:tc>
        <w:tc>
          <w:tcPr>
            <w:tcW w:w="3568" w:type="pct"/>
          </w:tcPr>
          <w:p w14:paraId="7EB74116" w14:textId="2FAC2002" w:rsidR="00FD215C" w:rsidRPr="008D0F1E" w:rsidRDefault="00FD215C" w:rsidP="00FD215C">
            <w:r>
              <w:t xml:space="preserve">Situace projektu a orientační výkres či mapa s vyznačením začátku a </w:t>
            </w:r>
            <w:r w:rsidRPr="001C7351">
              <w:t>konce stavby</w:t>
            </w:r>
            <w:r>
              <w:t>, ev. další výkresy</w:t>
            </w:r>
          </w:p>
        </w:tc>
        <w:sdt>
          <w:sdtPr>
            <w:rPr>
              <w:i/>
              <w:iCs/>
            </w:rPr>
            <w:alias w:val="Zvolte položku"/>
            <w:tag w:val="Zvolte položku"/>
            <w:id w:val="1328009054"/>
            <w:comboBox>
              <w:listItem w:displayText="ANO" w:value="Příloha je součástí "/>
              <w:listItem w:displayText="Netýká se" w:value="Příloha není součástí"/>
            </w:comboBox>
          </w:sdtPr>
          <w:sdtEndPr/>
          <w:sdtContent>
            <w:tc>
              <w:tcPr>
                <w:tcW w:w="850" w:type="pct"/>
              </w:tcPr>
              <w:p w14:paraId="5748D3C4" w14:textId="6DFF7F6D" w:rsidR="00FD215C" w:rsidRPr="00EE17CD" w:rsidRDefault="00EE17CD" w:rsidP="00FD215C">
                <w:r w:rsidRPr="00EE17CD">
                  <w:rPr>
                    <w:i/>
                    <w:iCs/>
                  </w:rPr>
                  <w:t>ANO</w:t>
                </w:r>
              </w:p>
            </w:tc>
          </w:sdtContent>
        </w:sdt>
      </w:tr>
      <w:tr w:rsidR="00FD215C" w:rsidRPr="008D0F1E" w14:paraId="0D7D884B" w14:textId="77777777" w:rsidTr="000F754B">
        <w:tc>
          <w:tcPr>
            <w:tcW w:w="582" w:type="pct"/>
          </w:tcPr>
          <w:p w14:paraId="75E42245" w14:textId="2E60CDB5" w:rsidR="00FD215C" w:rsidRPr="008D0F1E" w:rsidRDefault="004C27DE" w:rsidP="00FD215C">
            <w:r>
              <w:t>G</w:t>
            </w:r>
          </w:p>
        </w:tc>
        <w:tc>
          <w:tcPr>
            <w:tcW w:w="3568" w:type="pct"/>
          </w:tcPr>
          <w:p w14:paraId="4C03A97A" w14:textId="57FD9D94" w:rsidR="00FD215C" w:rsidRPr="008D0F1E" w:rsidRDefault="00FD215C" w:rsidP="00FD215C">
            <w:r>
              <w:t xml:space="preserve">Fotodokumentace současného stavu, výsledek diagnostiky, hlavní/mimořádná mostní </w:t>
            </w:r>
            <w:proofErr w:type="gramStart"/>
            <w:r>
              <w:t>prohlídka,</w:t>
            </w:r>
            <w:proofErr w:type="gramEnd"/>
            <w:r>
              <w:t xml:space="preserve"> apod., výsledky průzkumů – pouze v </w:t>
            </w:r>
            <w:r w:rsidR="009958B1">
              <w:t>případně</w:t>
            </w:r>
            <w:r w:rsidRPr="00FD215C">
              <w:t xml:space="preserve"> rekonstrukcí, optimalizací nebo modernizací a neinvestičních akcí</w:t>
            </w:r>
          </w:p>
        </w:tc>
        <w:sdt>
          <w:sdtPr>
            <w:rPr>
              <w:i/>
              <w:iCs/>
            </w:rPr>
            <w:alias w:val="Zvolte položku"/>
            <w:tag w:val="Zvolte položku"/>
            <w:id w:val="1957285863"/>
            <w:comboBox>
              <w:listItem w:displayText="ANO" w:value="Příloha je součástí "/>
              <w:listItem w:displayText="Netýká se" w:value="Příloha není součástí"/>
            </w:comboBox>
          </w:sdtPr>
          <w:sdtEndPr/>
          <w:sdtContent>
            <w:tc>
              <w:tcPr>
                <w:tcW w:w="850" w:type="pct"/>
              </w:tcPr>
              <w:p w14:paraId="43898343" w14:textId="0A70F49B" w:rsidR="00FD215C" w:rsidRPr="00EE17CD" w:rsidRDefault="00EE17CD" w:rsidP="00FD215C">
                <w:r w:rsidRPr="00EE17CD">
                  <w:rPr>
                    <w:i/>
                    <w:iCs/>
                  </w:rPr>
                  <w:t>Netýká se</w:t>
                </w:r>
              </w:p>
            </w:tc>
          </w:sdtContent>
        </w:sdt>
      </w:tr>
      <w:tr w:rsidR="00DC06A2" w:rsidRPr="008D0F1E" w14:paraId="2911203C" w14:textId="77777777" w:rsidTr="000F754B">
        <w:tc>
          <w:tcPr>
            <w:tcW w:w="582" w:type="pct"/>
          </w:tcPr>
          <w:p w14:paraId="30E70D7C" w14:textId="536D232A" w:rsidR="00DC06A2" w:rsidRDefault="00DC06A2" w:rsidP="00DC06A2">
            <w:r>
              <w:t>H</w:t>
            </w:r>
          </w:p>
        </w:tc>
        <w:tc>
          <w:tcPr>
            <w:tcW w:w="3568" w:type="pct"/>
          </w:tcPr>
          <w:p w14:paraId="2AFD112F" w14:textId="7AE991B5" w:rsidR="00DC06A2" w:rsidRDefault="00DC06A2" w:rsidP="00DC06A2">
            <w:r>
              <w:t xml:space="preserve">Výpočet stavebních nákladů projektu pomocí </w:t>
            </w:r>
            <w:r w:rsidR="00A26B7A" w:rsidRPr="00A26B7A">
              <w:t>„Cenových databází pro investiční přípravu dopravních staveb“ vydávaných SFDI, a to dle ceníku (sborníku) odpovídající podrobnosti dokumentace, na jejímž základě je ZP či AZP zpracována.</w:t>
            </w:r>
          </w:p>
        </w:tc>
        <w:sdt>
          <w:sdtPr>
            <w:rPr>
              <w:i/>
              <w:iCs/>
            </w:rPr>
            <w:alias w:val="Zvolte položku"/>
            <w:tag w:val="Zvolte položku"/>
            <w:id w:val="972790721"/>
            <w:comboBox>
              <w:listItem w:displayText="ANO" w:value="Příloha je součástí "/>
              <w:listItem w:displayText="Netýká se" w:value="Příloha není součástí"/>
            </w:comboBox>
          </w:sdtPr>
          <w:sdtEndPr/>
          <w:sdtContent>
            <w:tc>
              <w:tcPr>
                <w:tcW w:w="850" w:type="pct"/>
              </w:tcPr>
              <w:p w14:paraId="49890852" w14:textId="70089461" w:rsidR="00DC06A2" w:rsidRPr="00EE17CD" w:rsidRDefault="00EE17CD" w:rsidP="00DC06A2">
                <w:r w:rsidRPr="00EE17CD">
                  <w:rPr>
                    <w:i/>
                    <w:iCs/>
                  </w:rPr>
                  <w:t>ANO</w:t>
                </w:r>
              </w:p>
            </w:tc>
          </w:sdtContent>
        </w:sdt>
      </w:tr>
      <w:tr w:rsidR="00DC06A2" w:rsidRPr="008D0F1E" w14:paraId="3995A27C" w14:textId="77777777" w:rsidTr="000F754B">
        <w:tc>
          <w:tcPr>
            <w:tcW w:w="582" w:type="pct"/>
          </w:tcPr>
          <w:p w14:paraId="7E53EEAF" w14:textId="5B052D39" w:rsidR="00DC06A2" w:rsidRDefault="00DC06A2" w:rsidP="00DC06A2">
            <w:r>
              <w:t>I</w:t>
            </w:r>
          </w:p>
        </w:tc>
        <w:tc>
          <w:tcPr>
            <w:tcW w:w="3568" w:type="pct"/>
          </w:tcPr>
          <w:p w14:paraId="74F8B432" w14:textId="473FD52F" w:rsidR="00DC06A2" w:rsidRDefault="00DC06A2" w:rsidP="00DC06A2">
            <w:r w:rsidRPr="00B4755E">
              <w:t>Zpráva o prvotním hodnocení záměru, resp.</w:t>
            </w:r>
            <w:r>
              <w:t xml:space="preserve"> Audit bezpečnosti pozemní komunikace podle ustanovení § </w:t>
            </w:r>
            <w:r w:rsidRPr="0061613C">
              <w:t>18</w:t>
            </w:r>
            <w:r>
              <w:t>g</w:t>
            </w:r>
            <w:r w:rsidRPr="0061613C">
              <w:t xml:space="preserve"> z</w:t>
            </w:r>
            <w:r>
              <w:t>ákona č. 13/1997 Sb., o pozemních komunikacích, ve znění pozdějších předpisů (pouze v případě ZP na projekty staveb pozemních komunikací)</w:t>
            </w:r>
          </w:p>
        </w:tc>
        <w:sdt>
          <w:sdtPr>
            <w:rPr>
              <w:i/>
              <w:iCs/>
            </w:rPr>
            <w:alias w:val="Zvolte položku"/>
            <w:tag w:val="Zvolte položku"/>
            <w:id w:val="-1448160709"/>
            <w:comboBox>
              <w:listItem w:displayText="ANO" w:value="Příloha je součástí "/>
              <w:listItem w:displayText="Netýká se" w:value="Příloha není součástí"/>
            </w:comboBox>
          </w:sdtPr>
          <w:sdtEndPr/>
          <w:sdtContent>
            <w:tc>
              <w:tcPr>
                <w:tcW w:w="850" w:type="pct"/>
              </w:tcPr>
              <w:p w14:paraId="0425CF7D" w14:textId="622DC33D" w:rsidR="00DC06A2" w:rsidRPr="00EE17CD" w:rsidRDefault="00EE17CD" w:rsidP="00DC06A2">
                <w:r w:rsidRPr="00EE17CD">
                  <w:rPr>
                    <w:i/>
                    <w:iCs/>
                  </w:rPr>
                  <w:t>Netýká se</w:t>
                </w:r>
              </w:p>
            </w:tc>
          </w:sdtContent>
        </w:sdt>
      </w:tr>
      <w:tr w:rsidR="00DC06A2" w:rsidRPr="008D0F1E" w14:paraId="1C9359C3" w14:textId="77777777" w:rsidTr="000F754B">
        <w:tc>
          <w:tcPr>
            <w:tcW w:w="582" w:type="pct"/>
          </w:tcPr>
          <w:p w14:paraId="063B6C0B" w14:textId="7406E0AF" w:rsidR="00DC06A2" w:rsidRDefault="00DC06A2" w:rsidP="00DC06A2">
            <w:r>
              <w:t>J</w:t>
            </w:r>
          </w:p>
        </w:tc>
        <w:tc>
          <w:tcPr>
            <w:tcW w:w="3568" w:type="pct"/>
          </w:tcPr>
          <w:p w14:paraId="30ACA343" w14:textId="6F7BA6D7" w:rsidR="00DC06A2" w:rsidRDefault="00DC06A2" w:rsidP="00DC06A2">
            <w:r>
              <w:t>Vyhodnocení zprávy o prvotním posouzení záměru, resp. Hodnotící list investora k Auditu bezpečnosti pozemní komunikace (vypořádání připomínek a auditorem identifikovaných rizik) - pouze v případě ZP na projekty staveb pozemních komunikací</w:t>
            </w:r>
          </w:p>
        </w:tc>
        <w:sdt>
          <w:sdtPr>
            <w:rPr>
              <w:i/>
              <w:iCs/>
            </w:rPr>
            <w:alias w:val="Zvolte položku"/>
            <w:tag w:val="Zvolte položku"/>
            <w:id w:val="418144789"/>
            <w:comboBox>
              <w:listItem w:displayText="ANO" w:value="Příloha je součástí "/>
              <w:listItem w:displayText="Netýká se" w:value="Příloha není součástí"/>
            </w:comboBox>
          </w:sdtPr>
          <w:sdtEndPr/>
          <w:sdtContent>
            <w:tc>
              <w:tcPr>
                <w:tcW w:w="850" w:type="pct"/>
              </w:tcPr>
              <w:p w14:paraId="69FFFCD5" w14:textId="3E2AAB33" w:rsidR="00DC06A2" w:rsidRPr="00EE17CD" w:rsidRDefault="00EE17CD" w:rsidP="00DC06A2">
                <w:r w:rsidRPr="00EE17CD">
                  <w:rPr>
                    <w:i/>
                    <w:iCs/>
                  </w:rPr>
                  <w:t>Netýká se</w:t>
                </w:r>
              </w:p>
            </w:tc>
          </w:sdtContent>
        </w:sdt>
      </w:tr>
      <w:tr w:rsidR="004C27DE" w:rsidRPr="008D0F1E" w14:paraId="5E401D4B" w14:textId="77777777" w:rsidTr="00C6429B">
        <w:tc>
          <w:tcPr>
            <w:tcW w:w="582" w:type="pct"/>
          </w:tcPr>
          <w:p w14:paraId="29817DE9" w14:textId="601A77BD" w:rsidR="004C27DE" w:rsidRDefault="00991367" w:rsidP="004C27DE">
            <w:r>
              <w:t>K</w:t>
            </w:r>
          </w:p>
        </w:tc>
        <w:tc>
          <w:tcPr>
            <w:tcW w:w="3568" w:type="pct"/>
          </w:tcPr>
          <w:p w14:paraId="67C80F49" w14:textId="656C4BC9" w:rsidR="004C27DE" w:rsidRDefault="009739DD" w:rsidP="004C27DE">
            <w:r w:rsidRPr="009739DD">
              <w:t>Srovnání celkových nákladů akce a jejich jednotlivých složek ve srovnatelné cenové úrovni oproti původnímu materiálu a jeho předchozím aktualizacím</w:t>
            </w:r>
            <w:r>
              <w:t xml:space="preserve"> (v případě AZP)</w:t>
            </w:r>
          </w:p>
        </w:tc>
        <w:sdt>
          <w:sdtPr>
            <w:rPr>
              <w:i/>
              <w:iCs/>
            </w:rPr>
            <w:alias w:val="Zvolte položku"/>
            <w:tag w:val="Zvolte položku"/>
            <w:id w:val="978567800"/>
            <w:comboBox>
              <w:listItem w:displayText="ANO" w:value="Příloha je součástí "/>
              <w:listItem w:displayText="Netýká se" w:value="Příloha není součástí"/>
            </w:comboBox>
          </w:sdtPr>
          <w:sdtEndPr/>
          <w:sdtContent>
            <w:tc>
              <w:tcPr>
                <w:tcW w:w="850" w:type="pct"/>
              </w:tcPr>
              <w:p w14:paraId="00FF53D7" w14:textId="15B6A3BB" w:rsidR="004C27DE" w:rsidRPr="00EE17CD" w:rsidRDefault="00EE17CD" w:rsidP="004C27DE">
                <w:pPr>
                  <w:rPr>
                    <w:i/>
                    <w:iCs/>
                  </w:rPr>
                </w:pPr>
                <w:r w:rsidRPr="00EE17CD">
                  <w:rPr>
                    <w:i/>
                    <w:iCs/>
                  </w:rPr>
                  <w:t>Netýká se</w:t>
                </w:r>
              </w:p>
            </w:tc>
          </w:sdtContent>
        </w:sdt>
      </w:tr>
      <w:tr w:rsidR="004C27DE" w:rsidRPr="008D0F1E" w14:paraId="7C3BA105" w14:textId="77777777" w:rsidTr="000F754B">
        <w:tc>
          <w:tcPr>
            <w:tcW w:w="582" w:type="pct"/>
          </w:tcPr>
          <w:p w14:paraId="0E301AB5" w14:textId="0ABA7383" w:rsidR="004C27DE" w:rsidRDefault="00991367" w:rsidP="004C27DE">
            <w:r>
              <w:t>L</w:t>
            </w:r>
          </w:p>
        </w:tc>
        <w:tc>
          <w:tcPr>
            <w:tcW w:w="3568" w:type="pct"/>
          </w:tcPr>
          <w:p w14:paraId="667D59E8" w14:textId="024C939E" w:rsidR="004C27DE" w:rsidRPr="00B4755E" w:rsidRDefault="004C27DE" w:rsidP="004C27DE">
            <w:r>
              <w:t>O</w:t>
            </w:r>
            <w:r w:rsidRPr="00E4392A">
              <w:t>statní přílohy - např. výsledky zpracovaných studií</w:t>
            </w:r>
          </w:p>
        </w:tc>
        <w:sdt>
          <w:sdtPr>
            <w:rPr>
              <w:i/>
              <w:iCs/>
            </w:rPr>
            <w:alias w:val="Zvolte položku"/>
            <w:tag w:val="Zvolte položku"/>
            <w:id w:val="-1284724799"/>
            <w:comboBox>
              <w:listItem w:displayText="ANO" w:value="Příloha je součástí "/>
              <w:listItem w:displayText="Netýká se" w:value="Příloha není součástí"/>
            </w:comboBox>
          </w:sdtPr>
          <w:sdtEndPr/>
          <w:sdtContent>
            <w:tc>
              <w:tcPr>
                <w:tcW w:w="850" w:type="pct"/>
              </w:tcPr>
              <w:p w14:paraId="71EF1669" w14:textId="04121E35" w:rsidR="004C27DE" w:rsidRPr="00EE17CD" w:rsidRDefault="00EE17CD" w:rsidP="004C27DE">
                <w:r w:rsidRPr="00EE17CD">
                  <w:rPr>
                    <w:i/>
                    <w:iCs/>
                  </w:rPr>
                  <w:t>ANO</w:t>
                </w:r>
              </w:p>
            </w:tc>
          </w:sdtContent>
        </w:sdt>
      </w:tr>
    </w:tbl>
    <w:p w14:paraId="11A69BC5" w14:textId="77777777" w:rsidR="00881A2B" w:rsidRDefault="00881A2B" w:rsidP="003645DA"/>
    <w:sectPr w:rsidR="00881A2B" w:rsidSect="00F042F8">
      <w:footerReference w:type="default" r:id="rId8"/>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070E5D" w14:textId="77777777" w:rsidR="00BB3FB3" w:rsidRDefault="00BB3FB3" w:rsidP="00A36889">
      <w:pPr>
        <w:spacing w:after="0" w:line="240" w:lineRule="auto"/>
      </w:pPr>
      <w:r>
        <w:separator/>
      </w:r>
    </w:p>
  </w:endnote>
  <w:endnote w:type="continuationSeparator" w:id="0">
    <w:p w14:paraId="49646E77" w14:textId="77777777" w:rsidR="00BB3FB3" w:rsidRDefault="00BB3FB3" w:rsidP="00A36889">
      <w:pPr>
        <w:spacing w:after="0" w:line="240" w:lineRule="auto"/>
      </w:pPr>
      <w:r>
        <w:continuationSeparator/>
      </w:r>
    </w:p>
  </w:endnote>
  <w:endnote w:type="continuationNotice" w:id="1">
    <w:p w14:paraId="5B02EC6A" w14:textId="77777777" w:rsidR="00BB3FB3" w:rsidRDefault="00BB3FB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7" w:rightFromText="187" w:vertAnchor="page" w:horzAnchor="margin" w:tblpXSpec="center" w:tblpYSpec="bottom"/>
      <w:tblW w:w="5000" w:type="pct"/>
      <w:tblLayout w:type="fixed"/>
      <w:tblLook w:val="04A0" w:firstRow="1" w:lastRow="0" w:firstColumn="1" w:lastColumn="0" w:noHBand="0" w:noVBand="1"/>
    </w:tblPr>
    <w:tblGrid>
      <w:gridCol w:w="7258"/>
      <w:gridCol w:w="1814"/>
    </w:tblGrid>
    <w:sdt>
      <w:sdtPr>
        <w:rPr>
          <w:rFonts w:asciiTheme="majorHAnsi" w:eastAsiaTheme="majorEastAsia" w:hAnsiTheme="majorHAnsi" w:cstheme="majorBidi"/>
          <w:sz w:val="20"/>
          <w:szCs w:val="20"/>
        </w:rPr>
        <w:id w:val="1398861861"/>
        <w:docPartObj>
          <w:docPartGallery w:val="Page Numbers (Bottom of Page)"/>
          <w:docPartUnique/>
        </w:docPartObj>
      </w:sdtPr>
      <w:sdtEndPr>
        <w:rPr>
          <w:rFonts w:asciiTheme="minorHAnsi" w:eastAsiaTheme="minorHAnsi" w:hAnsiTheme="minorHAnsi" w:cstheme="minorBidi"/>
          <w:sz w:val="22"/>
          <w:szCs w:val="22"/>
        </w:rPr>
      </w:sdtEndPr>
      <w:sdtContent>
        <w:tr w:rsidR="004533E0" w14:paraId="223F7C3A" w14:textId="77777777">
          <w:trPr>
            <w:trHeight w:val="727"/>
          </w:trPr>
          <w:tc>
            <w:tcPr>
              <w:tcW w:w="4000" w:type="pct"/>
              <w:tcBorders>
                <w:right w:val="triple" w:sz="4" w:space="0" w:color="5B9BD5" w:themeColor="accent1"/>
              </w:tcBorders>
            </w:tcPr>
            <w:p w14:paraId="110EDC67" w14:textId="69F2FBBE" w:rsidR="004533E0" w:rsidRDefault="004533E0">
              <w:pPr>
                <w:tabs>
                  <w:tab w:val="left" w:pos="620"/>
                  <w:tab w:val="center" w:pos="4320"/>
                </w:tabs>
                <w:jc w:val="right"/>
                <w:rPr>
                  <w:rFonts w:asciiTheme="majorHAnsi" w:eastAsiaTheme="majorEastAsia" w:hAnsiTheme="majorHAnsi" w:cstheme="majorBidi"/>
                  <w:sz w:val="20"/>
                  <w:szCs w:val="20"/>
                </w:rPr>
              </w:pPr>
            </w:p>
          </w:tc>
          <w:tc>
            <w:tcPr>
              <w:tcW w:w="1000" w:type="pct"/>
              <w:tcBorders>
                <w:left w:val="triple" w:sz="4" w:space="0" w:color="5B9BD5" w:themeColor="accent1"/>
              </w:tcBorders>
            </w:tcPr>
            <w:p w14:paraId="022A0CF3" w14:textId="76B1C033" w:rsidR="004533E0" w:rsidRDefault="004533E0">
              <w:pPr>
                <w:tabs>
                  <w:tab w:val="left" w:pos="1490"/>
                </w:tabs>
                <w:rPr>
                  <w:rFonts w:asciiTheme="majorHAnsi" w:eastAsiaTheme="majorEastAsia" w:hAnsiTheme="majorHAnsi" w:cstheme="majorBidi"/>
                  <w:sz w:val="28"/>
                  <w:szCs w:val="28"/>
                </w:rPr>
              </w:pPr>
              <w:r>
                <w:fldChar w:fldCharType="begin"/>
              </w:r>
              <w:r>
                <w:instrText>PAGE    \* MERGEFORMAT</w:instrText>
              </w:r>
              <w:r>
                <w:fldChar w:fldCharType="separate"/>
              </w:r>
              <w:r w:rsidR="00C15FA7">
                <w:rPr>
                  <w:noProof/>
                </w:rPr>
                <w:t>1</w:t>
              </w:r>
              <w:r>
                <w:fldChar w:fldCharType="end"/>
              </w:r>
            </w:p>
          </w:tc>
        </w:tr>
      </w:sdtContent>
    </w:sdt>
  </w:tbl>
  <w:p w14:paraId="71AFDC94" w14:textId="77777777" w:rsidR="004533E0" w:rsidRDefault="004533E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905F38" w14:textId="77777777" w:rsidR="00BB3FB3" w:rsidRDefault="00BB3FB3" w:rsidP="00A36889">
      <w:pPr>
        <w:spacing w:after="0" w:line="240" w:lineRule="auto"/>
      </w:pPr>
      <w:r>
        <w:separator/>
      </w:r>
    </w:p>
  </w:footnote>
  <w:footnote w:type="continuationSeparator" w:id="0">
    <w:p w14:paraId="3335CB05" w14:textId="77777777" w:rsidR="00BB3FB3" w:rsidRDefault="00BB3FB3" w:rsidP="00A36889">
      <w:pPr>
        <w:spacing w:after="0" w:line="240" w:lineRule="auto"/>
      </w:pPr>
      <w:r>
        <w:continuationSeparator/>
      </w:r>
    </w:p>
  </w:footnote>
  <w:footnote w:type="continuationNotice" w:id="1">
    <w:p w14:paraId="546F3C22" w14:textId="77777777" w:rsidR="00BB3FB3" w:rsidRDefault="00BB3FB3">
      <w:pPr>
        <w:spacing w:after="0" w:line="240" w:lineRule="auto"/>
      </w:pPr>
    </w:p>
  </w:footnote>
  <w:footnote w:id="2">
    <w:p w14:paraId="1B953984" w14:textId="63FABA37" w:rsidR="00B718F0" w:rsidRPr="00B718F0" w:rsidRDefault="00B718F0">
      <w:pPr>
        <w:pStyle w:val="Textpoznpodarou"/>
        <w:rPr>
          <w:rFonts w:asciiTheme="minorHAnsi" w:hAnsiTheme="minorHAnsi" w:cstheme="minorHAnsi"/>
        </w:rPr>
      </w:pPr>
      <w:r w:rsidRPr="00B718F0">
        <w:rPr>
          <w:rStyle w:val="Znakapoznpodarou"/>
          <w:rFonts w:asciiTheme="minorHAnsi" w:hAnsiTheme="minorHAnsi" w:cstheme="minorHAnsi"/>
        </w:rPr>
        <w:footnoteRef/>
      </w:r>
      <w:r w:rsidRPr="00B718F0">
        <w:rPr>
          <w:rFonts w:asciiTheme="minorHAnsi" w:hAnsiTheme="minorHAnsi" w:cstheme="minorHAnsi"/>
        </w:rPr>
        <w:t xml:space="preserve"> Investiční náklady včetně věcné a inflační rezervy (řádek 812 VZOR 81) = souhrn investičních zdrojů (řádek 819 VZOR 81)</w:t>
      </w:r>
    </w:p>
  </w:footnote>
  <w:footnote w:id="3">
    <w:p w14:paraId="2B82CA7A" w14:textId="77777777" w:rsidR="00BE45B8" w:rsidRPr="00B718F0" w:rsidRDefault="00BE45B8" w:rsidP="00BE45B8">
      <w:pPr>
        <w:pStyle w:val="Textpoznpodarou"/>
        <w:rPr>
          <w:rFonts w:asciiTheme="minorHAnsi" w:hAnsiTheme="minorHAnsi" w:cstheme="minorHAnsi"/>
        </w:rPr>
      </w:pPr>
      <w:r w:rsidRPr="00B718F0">
        <w:rPr>
          <w:rStyle w:val="Znakapoznpodarou"/>
          <w:rFonts w:asciiTheme="minorHAnsi" w:hAnsiTheme="minorHAnsi" w:cstheme="minorHAnsi"/>
        </w:rPr>
        <w:footnoteRef/>
      </w:r>
      <w:r w:rsidRPr="00B718F0">
        <w:rPr>
          <w:rFonts w:asciiTheme="minorHAnsi" w:hAnsiTheme="minorHAnsi" w:cstheme="minorHAnsi"/>
        </w:rPr>
        <w:t xml:space="preserve"> Investiční náklady včetně věcné a inflační rezervy (řádek 812 VZOR 81) = souhrn investičních zdrojů (řádek 819 VZOR 81)</w:t>
      </w:r>
    </w:p>
  </w:footnote>
  <w:footnote w:id="4">
    <w:p w14:paraId="564A061D" w14:textId="1D6AD023" w:rsidR="00CC0A0A" w:rsidRPr="00F8567C" w:rsidRDefault="00CC0A0A">
      <w:pPr>
        <w:pStyle w:val="Textpoznpodarou"/>
        <w:rPr>
          <w:rFonts w:asciiTheme="minorHAnsi" w:hAnsiTheme="minorHAnsi" w:cstheme="minorHAnsi"/>
        </w:rPr>
      </w:pPr>
      <w:r w:rsidRPr="00F8567C">
        <w:rPr>
          <w:rStyle w:val="Znakapoznpodarou"/>
          <w:rFonts w:asciiTheme="minorHAnsi" w:hAnsiTheme="minorHAnsi" w:cstheme="minorHAnsi"/>
        </w:rPr>
        <w:footnoteRef/>
      </w:r>
      <w:r w:rsidRPr="00F8567C">
        <w:rPr>
          <w:rFonts w:asciiTheme="minorHAnsi" w:hAnsiTheme="minorHAnsi" w:cstheme="minorHAnsi"/>
        </w:rPr>
        <w:t xml:space="preserve"> Neinvestiční náklady včetně věcné a inflační rezervy (řádek 823 VZOR 82) = souhrn neinvestičních zdrojů (řádek 829 VZOR 81)</w:t>
      </w:r>
    </w:p>
  </w:footnote>
  <w:footnote w:id="5">
    <w:p w14:paraId="5E5E324B" w14:textId="77777777" w:rsidR="00BE45B8" w:rsidRPr="00F8567C" w:rsidRDefault="00BE45B8" w:rsidP="00BE45B8">
      <w:pPr>
        <w:pStyle w:val="Textpoznpodarou"/>
        <w:rPr>
          <w:rFonts w:asciiTheme="minorHAnsi" w:hAnsiTheme="minorHAnsi" w:cstheme="minorHAnsi"/>
        </w:rPr>
      </w:pPr>
      <w:r w:rsidRPr="00F8567C">
        <w:rPr>
          <w:rStyle w:val="Znakapoznpodarou"/>
          <w:rFonts w:asciiTheme="minorHAnsi" w:hAnsiTheme="minorHAnsi" w:cstheme="minorHAnsi"/>
        </w:rPr>
        <w:footnoteRef/>
      </w:r>
      <w:r w:rsidRPr="00F8567C">
        <w:rPr>
          <w:rFonts w:asciiTheme="minorHAnsi" w:hAnsiTheme="minorHAnsi" w:cstheme="minorHAnsi"/>
        </w:rPr>
        <w:t xml:space="preserve"> Neinvestiční náklady včetně věcné a inflační rezervy (řádek 823 VZOR 82) = souhrn neinvestičních zdrojů (řádek 829 VZOR 81)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5107AA" w14:textId="00415DB4" w:rsidR="002614E1" w:rsidRDefault="002614E1" w:rsidP="002614E1">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2C6D5E"/>
    <w:multiLevelType w:val="hybridMultilevel"/>
    <w:tmpl w:val="8154D09C"/>
    <w:lvl w:ilvl="0" w:tplc="6C9C358A">
      <w:start w:val="1"/>
      <w:numFmt w:val="bullet"/>
      <w:lvlText w:val="•"/>
      <w:lvlJc w:val="left"/>
      <w:pPr>
        <w:ind w:left="1065" w:hanging="705"/>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4B16EFC"/>
    <w:multiLevelType w:val="hybridMultilevel"/>
    <w:tmpl w:val="2CA89A5C"/>
    <w:lvl w:ilvl="0" w:tplc="6C9C358A">
      <w:start w:val="1"/>
      <w:numFmt w:val="bullet"/>
      <w:lvlText w:val="•"/>
      <w:lvlJc w:val="left"/>
      <w:pPr>
        <w:ind w:left="1065" w:hanging="705"/>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5B61D4C"/>
    <w:multiLevelType w:val="hybridMultilevel"/>
    <w:tmpl w:val="4676771A"/>
    <w:lvl w:ilvl="0" w:tplc="CB6C7092">
      <w:start w:val="1"/>
      <w:numFmt w:val="decimal"/>
      <w:lvlText w:val="%1)"/>
      <w:lvlJc w:val="left"/>
      <w:pPr>
        <w:tabs>
          <w:tab w:val="num" w:pos="502"/>
        </w:tabs>
        <w:ind w:left="502" w:hanging="360"/>
      </w:pPr>
      <w:rPr>
        <w:rFonts w:hint="default"/>
      </w:rPr>
    </w:lvl>
    <w:lvl w:ilvl="1" w:tplc="90A23C68">
      <w:start w:val="7"/>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C2B4F50"/>
    <w:multiLevelType w:val="hybridMultilevel"/>
    <w:tmpl w:val="BBC2A75A"/>
    <w:lvl w:ilvl="0" w:tplc="415CBDB0">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F136216"/>
    <w:multiLevelType w:val="hybridMultilevel"/>
    <w:tmpl w:val="6B6475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02607D3"/>
    <w:multiLevelType w:val="hybridMultilevel"/>
    <w:tmpl w:val="C9429E04"/>
    <w:lvl w:ilvl="0" w:tplc="6C9C358A">
      <w:start w:val="1"/>
      <w:numFmt w:val="bullet"/>
      <w:lvlText w:val="•"/>
      <w:lvlJc w:val="left"/>
      <w:pPr>
        <w:ind w:left="1065" w:hanging="705"/>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64E3063"/>
    <w:multiLevelType w:val="hybridMultilevel"/>
    <w:tmpl w:val="129ADEC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69C5F3F"/>
    <w:multiLevelType w:val="hybridMultilevel"/>
    <w:tmpl w:val="CCDCA390"/>
    <w:lvl w:ilvl="0" w:tplc="6C9C358A">
      <w:start w:val="1"/>
      <w:numFmt w:val="bullet"/>
      <w:lvlText w:val="•"/>
      <w:lvlJc w:val="left"/>
      <w:pPr>
        <w:ind w:left="1065" w:hanging="705"/>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33E2171"/>
    <w:multiLevelType w:val="hybridMultilevel"/>
    <w:tmpl w:val="CECACB0A"/>
    <w:lvl w:ilvl="0" w:tplc="6C9C358A">
      <w:start w:val="1"/>
      <w:numFmt w:val="bullet"/>
      <w:lvlText w:val="•"/>
      <w:lvlJc w:val="left"/>
      <w:pPr>
        <w:ind w:left="1065" w:hanging="705"/>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37C5546"/>
    <w:multiLevelType w:val="hybridMultilevel"/>
    <w:tmpl w:val="49CC7AE6"/>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3C3D3306"/>
    <w:multiLevelType w:val="hybridMultilevel"/>
    <w:tmpl w:val="6066A99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F5E4362"/>
    <w:multiLevelType w:val="hybridMultilevel"/>
    <w:tmpl w:val="D472C5A8"/>
    <w:lvl w:ilvl="0" w:tplc="04050001">
      <w:start w:val="1"/>
      <w:numFmt w:val="bullet"/>
      <w:lvlText w:val=""/>
      <w:lvlJc w:val="left"/>
      <w:pPr>
        <w:ind w:left="720" w:hanging="360"/>
      </w:pPr>
      <w:rPr>
        <w:rFonts w:ascii="Symbol" w:hAnsi="Symbol" w:hint="default"/>
      </w:rPr>
    </w:lvl>
    <w:lvl w:ilvl="1" w:tplc="65DAE31C">
      <w:start w:val="1"/>
      <w:numFmt w:val="bullet"/>
      <w:lvlText w:val="•"/>
      <w:lvlJc w:val="left"/>
      <w:pPr>
        <w:ind w:left="1785" w:hanging="705"/>
      </w:pPr>
      <w:rPr>
        <w:rFonts w:ascii="Calibri" w:eastAsiaTheme="minorHAnsi" w:hAnsi="Calibri" w:cs="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43440F1"/>
    <w:multiLevelType w:val="hybridMultilevel"/>
    <w:tmpl w:val="AD168F88"/>
    <w:lvl w:ilvl="0" w:tplc="6C9C358A">
      <w:start w:val="1"/>
      <w:numFmt w:val="bullet"/>
      <w:lvlText w:val="•"/>
      <w:lvlJc w:val="left"/>
      <w:pPr>
        <w:ind w:left="1065" w:hanging="705"/>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6277CAF"/>
    <w:multiLevelType w:val="hybridMultilevel"/>
    <w:tmpl w:val="DA94DDD2"/>
    <w:lvl w:ilvl="0" w:tplc="6C9C358A">
      <w:start w:val="1"/>
      <w:numFmt w:val="bullet"/>
      <w:lvlText w:val="•"/>
      <w:lvlJc w:val="left"/>
      <w:pPr>
        <w:ind w:left="1065" w:hanging="705"/>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B177CBD"/>
    <w:multiLevelType w:val="hybridMultilevel"/>
    <w:tmpl w:val="6EA65742"/>
    <w:lvl w:ilvl="0" w:tplc="6C9C358A">
      <w:start w:val="1"/>
      <w:numFmt w:val="bullet"/>
      <w:lvlText w:val="•"/>
      <w:lvlJc w:val="left"/>
      <w:pPr>
        <w:ind w:left="1065" w:hanging="705"/>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C603703"/>
    <w:multiLevelType w:val="hybridMultilevel"/>
    <w:tmpl w:val="505C3272"/>
    <w:lvl w:ilvl="0" w:tplc="6C9C358A">
      <w:start w:val="1"/>
      <w:numFmt w:val="bullet"/>
      <w:lvlText w:val="•"/>
      <w:lvlJc w:val="left"/>
      <w:pPr>
        <w:ind w:left="1065" w:hanging="705"/>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F9B20EA"/>
    <w:multiLevelType w:val="hybridMultilevel"/>
    <w:tmpl w:val="EDA45C1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0936C1C"/>
    <w:multiLevelType w:val="hybridMultilevel"/>
    <w:tmpl w:val="934EB8B2"/>
    <w:lvl w:ilvl="0" w:tplc="6C9C358A">
      <w:start w:val="1"/>
      <w:numFmt w:val="bullet"/>
      <w:lvlText w:val="•"/>
      <w:lvlJc w:val="left"/>
      <w:pPr>
        <w:ind w:left="1065" w:hanging="705"/>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7DB3124"/>
    <w:multiLevelType w:val="hybridMultilevel"/>
    <w:tmpl w:val="B94E5586"/>
    <w:lvl w:ilvl="0" w:tplc="04050001">
      <w:start w:val="1"/>
      <w:numFmt w:val="bullet"/>
      <w:lvlText w:val=""/>
      <w:lvlJc w:val="left"/>
      <w:pPr>
        <w:tabs>
          <w:tab w:val="num" w:pos="900"/>
        </w:tabs>
        <w:ind w:left="90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9" w15:restartNumberingAfterBreak="0">
    <w:nsid w:val="5BEE11CF"/>
    <w:multiLevelType w:val="hybridMultilevel"/>
    <w:tmpl w:val="49CC7AE6"/>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5F685858"/>
    <w:multiLevelType w:val="hybridMultilevel"/>
    <w:tmpl w:val="E1D09EC8"/>
    <w:lvl w:ilvl="0" w:tplc="6C9C358A">
      <w:start w:val="1"/>
      <w:numFmt w:val="bullet"/>
      <w:lvlText w:val="•"/>
      <w:lvlJc w:val="left"/>
      <w:pPr>
        <w:ind w:left="1065" w:hanging="705"/>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FE77BBE"/>
    <w:multiLevelType w:val="hybridMultilevel"/>
    <w:tmpl w:val="0930EB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17E6A8C"/>
    <w:multiLevelType w:val="multilevel"/>
    <w:tmpl w:val="1CF64A22"/>
    <w:lvl w:ilvl="0">
      <w:start w:val="1"/>
      <w:numFmt w:val="decimal"/>
      <w:pStyle w:val="Nadpis1"/>
      <w:lvlText w:val="%1."/>
      <w:lvlJc w:val="left"/>
      <w:pPr>
        <w:ind w:left="360" w:hanging="360"/>
      </w:pPr>
    </w:lvl>
    <w:lvl w:ilvl="1">
      <w:start w:val="1"/>
      <w:numFmt w:val="decimal"/>
      <w:pStyle w:val="Nadpis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39757D7"/>
    <w:multiLevelType w:val="hybridMultilevel"/>
    <w:tmpl w:val="809C5AF6"/>
    <w:lvl w:ilvl="0" w:tplc="0405000F">
      <w:start w:val="1"/>
      <w:numFmt w:val="decimal"/>
      <w:lvlText w:val="%1."/>
      <w:lvlJc w:val="left"/>
      <w:pPr>
        <w:ind w:left="135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24" w15:restartNumberingAfterBreak="0">
    <w:nsid w:val="64317AF4"/>
    <w:multiLevelType w:val="hybridMultilevel"/>
    <w:tmpl w:val="8B72407C"/>
    <w:lvl w:ilvl="0" w:tplc="6C9C358A">
      <w:start w:val="1"/>
      <w:numFmt w:val="bullet"/>
      <w:lvlText w:val="•"/>
      <w:lvlJc w:val="left"/>
      <w:pPr>
        <w:ind w:left="1065" w:hanging="705"/>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CC10480"/>
    <w:multiLevelType w:val="hybridMultilevel"/>
    <w:tmpl w:val="B2CA97A2"/>
    <w:lvl w:ilvl="0" w:tplc="6C9C358A">
      <w:start w:val="1"/>
      <w:numFmt w:val="bullet"/>
      <w:lvlText w:val="•"/>
      <w:lvlJc w:val="left"/>
      <w:pPr>
        <w:ind w:left="1065" w:hanging="705"/>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3E08B5"/>
    <w:multiLevelType w:val="hybridMultilevel"/>
    <w:tmpl w:val="5CE88998"/>
    <w:lvl w:ilvl="0" w:tplc="6C9C358A">
      <w:start w:val="1"/>
      <w:numFmt w:val="bullet"/>
      <w:lvlText w:val="•"/>
      <w:lvlJc w:val="left"/>
      <w:pPr>
        <w:ind w:left="1065" w:hanging="705"/>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E3D4FEC"/>
    <w:multiLevelType w:val="hybridMultilevel"/>
    <w:tmpl w:val="9878DE0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977684722">
    <w:abstractNumId w:val="22"/>
  </w:num>
  <w:num w:numId="2" w16cid:durableId="643580612">
    <w:abstractNumId w:val="22"/>
  </w:num>
  <w:num w:numId="3" w16cid:durableId="60173754">
    <w:abstractNumId w:val="16"/>
  </w:num>
  <w:num w:numId="4" w16cid:durableId="949044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058463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37678023">
    <w:abstractNumId w:val="11"/>
  </w:num>
  <w:num w:numId="7" w16cid:durableId="848912386">
    <w:abstractNumId w:val="3"/>
  </w:num>
  <w:num w:numId="8" w16cid:durableId="2038896045">
    <w:abstractNumId w:val="22"/>
  </w:num>
  <w:num w:numId="9" w16cid:durableId="824321721">
    <w:abstractNumId w:val="4"/>
  </w:num>
  <w:num w:numId="10" w16cid:durableId="1959146500">
    <w:abstractNumId w:val="0"/>
  </w:num>
  <w:num w:numId="11" w16cid:durableId="1751652639">
    <w:abstractNumId w:val="15"/>
  </w:num>
  <w:num w:numId="12" w16cid:durableId="1620916303">
    <w:abstractNumId w:val="12"/>
  </w:num>
  <w:num w:numId="13" w16cid:durableId="2144613581">
    <w:abstractNumId w:val="17"/>
  </w:num>
  <w:num w:numId="14" w16cid:durableId="2019232118">
    <w:abstractNumId w:val="8"/>
  </w:num>
  <w:num w:numId="15" w16cid:durableId="1688020629">
    <w:abstractNumId w:val="14"/>
  </w:num>
  <w:num w:numId="16" w16cid:durableId="1785953207">
    <w:abstractNumId w:val="24"/>
  </w:num>
  <w:num w:numId="17" w16cid:durableId="342516577">
    <w:abstractNumId w:val="25"/>
  </w:num>
  <w:num w:numId="18" w16cid:durableId="1262301702">
    <w:abstractNumId w:val="1"/>
  </w:num>
  <w:num w:numId="19" w16cid:durableId="807016270">
    <w:abstractNumId w:val="26"/>
  </w:num>
  <w:num w:numId="20" w16cid:durableId="1269777777">
    <w:abstractNumId w:val="7"/>
  </w:num>
  <w:num w:numId="21" w16cid:durableId="1939949967">
    <w:abstractNumId w:val="20"/>
  </w:num>
  <w:num w:numId="22" w16cid:durableId="746730795">
    <w:abstractNumId w:val="13"/>
  </w:num>
  <w:num w:numId="23" w16cid:durableId="1647123080">
    <w:abstractNumId w:val="5"/>
  </w:num>
  <w:num w:numId="24" w16cid:durableId="871386187">
    <w:abstractNumId w:val="18"/>
  </w:num>
  <w:num w:numId="25" w16cid:durableId="612977725">
    <w:abstractNumId w:val="6"/>
  </w:num>
  <w:num w:numId="26" w16cid:durableId="825709558">
    <w:abstractNumId w:val="22"/>
  </w:num>
  <w:num w:numId="27" w16cid:durableId="195393172">
    <w:abstractNumId w:val="2"/>
  </w:num>
  <w:num w:numId="28" w16cid:durableId="1341852232">
    <w:abstractNumId w:val="22"/>
  </w:num>
  <w:num w:numId="29" w16cid:durableId="658702515">
    <w:abstractNumId w:val="23"/>
  </w:num>
  <w:num w:numId="30" w16cid:durableId="234318763">
    <w:abstractNumId w:val="10"/>
  </w:num>
  <w:num w:numId="31" w16cid:durableId="1656179596">
    <w:abstractNumId w:val="27"/>
  </w:num>
  <w:num w:numId="32" w16cid:durableId="542057481">
    <w:abstractNumId w:val="9"/>
  </w:num>
  <w:num w:numId="33" w16cid:durableId="1883327134">
    <w:abstractNumId w:val="19"/>
  </w:num>
  <w:num w:numId="34" w16cid:durableId="1454323494">
    <w:abstractNumId w:val="22"/>
  </w:num>
  <w:num w:numId="35" w16cid:durableId="2089498897">
    <w:abstractNumId w:val="22"/>
  </w:num>
  <w:num w:numId="36" w16cid:durableId="99788218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4622104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6889"/>
    <w:rsid w:val="00000219"/>
    <w:rsid w:val="000022AD"/>
    <w:rsid w:val="00013265"/>
    <w:rsid w:val="000201FD"/>
    <w:rsid w:val="00035917"/>
    <w:rsid w:val="00042464"/>
    <w:rsid w:val="000438CD"/>
    <w:rsid w:val="00045B6B"/>
    <w:rsid w:val="00047D24"/>
    <w:rsid w:val="00052126"/>
    <w:rsid w:val="000632DD"/>
    <w:rsid w:val="000661EB"/>
    <w:rsid w:val="0006683C"/>
    <w:rsid w:val="000809B0"/>
    <w:rsid w:val="0008332C"/>
    <w:rsid w:val="00084064"/>
    <w:rsid w:val="000851F0"/>
    <w:rsid w:val="000908D1"/>
    <w:rsid w:val="00092354"/>
    <w:rsid w:val="000A407C"/>
    <w:rsid w:val="000A46A2"/>
    <w:rsid w:val="000B2746"/>
    <w:rsid w:val="000B752B"/>
    <w:rsid w:val="000B7B35"/>
    <w:rsid w:val="000C52BA"/>
    <w:rsid w:val="000E5929"/>
    <w:rsid w:val="000F3280"/>
    <w:rsid w:val="000F5938"/>
    <w:rsid w:val="000F754B"/>
    <w:rsid w:val="00105920"/>
    <w:rsid w:val="001201A2"/>
    <w:rsid w:val="00127C40"/>
    <w:rsid w:val="00133384"/>
    <w:rsid w:val="0013746D"/>
    <w:rsid w:val="00140111"/>
    <w:rsid w:val="00156897"/>
    <w:rsid w:val="001618EA"/>
    <w:rsid w:val="0016238C"/>
    <w:rsid w:val="00174F1E"/>
    <w:rsid w:val="00175C06"/>
    <w:rsid w:val="00183828"/>
    <w:rsid w:val="00183945"/>
    <w:rsid w:val="00183B07"/>
    <w:rsid w:val="00197ABA"/>
    <w:rsid w:val="001A132B"/>
    <w:rsid w:val="001B3492"/>
    <w:rsid w:val="001B5E72"/>
    <w:rsid w:val="001B6488"/>
    <w:rsid w:val="001B7D6A"/>
    <w:rsid w:val="001C1B72"/>
    <w:rsid w:val="001C2B3B"/>
    <w:rsid w:val="001D2CDC"/>
    <w:rsid w:val="001D3D67"/>
    <w:rsid w:val="001E1D5C"/>
    <w:rsid w:val="002101DE"/>
    <w:rsid w:val="002250D8"/>
    <w:rsid w:val="002304DC"/>
    <w:rsid w:val="0023689D"/>
    <w:rsid w:val="002437E5"/>
    <w:rsid w:val="00244766"/>
    <w:rsid w:val="0025048A"/>
    <w:rsid w:val="00251ACF"/>
    <w:rsid w:val="0025614C"/>
    <w:rsid w:val="002614E1"/>
    <w:rsid w:val="00265B3B"/>
    <w:rsid w:val="00267C2C"/>
    <w:rsid w:val="00272369"/>
    <w:rsid w:val="00273661"/>
    <w:rsid w:val="00276D92"/>
    <w:rsid w:val="00282C4A"/>
    <w:rsid w:val="002A2ED1"/>
    <w:rsid w:val="002C55A0"/>
    <w:rsid w:val="002C75DD"/>
    <w:rsid w:val="002C7707"/>
    <w:rsid w:val="002E02A9"/>
    <w:rsid w:val="002E2D5D"/>
    <w:rsid w:val="002E4460"/>
    <w:rsid w:val="002E574C"/>
    <w:rsid w:val="002E5939"/>
    <w:rsid w:val="002E5DAF"/>
    <w:rsid w:val="002F7C0D"/>
    <w:rsid w:val="00300A84"/>
    <w:rsid w:val="00300B0B"/>
    <w:rsid w:val="00311031"/>
    <w:rsid w:val="00324356"/>
    <w:rsid w:val="00332666"/>
    <w:rsid w:val="00344340"/>
    <w:rsid w:val="003645DA"/>
    <w:rsid w:val="00365813"/>
    <w:rsid w:val="00373652"/>
    <w:rsid w:val="003740A0"/>
    <w:rsid w:val="00380C52"/>
    <w:rsid w:val="003821A3"/>
    <w:rsid w:val="0039515C"/>
    <w:rsid w:val="003A266E"/>
    <w:rsid w:val="003B71AE"/>
    <w:rsid w:val="003C28CE"/>
    <w:rsid w:val="003C2EC8"/>
    <w:rsid w:val="003D78A7"/>
    <w:rsid w:val="003E20F9"/>
    <w:rsid w:val="003F2445"/>
    <w:rsid w:val="003F2B1B"/>
    <w:rsid w:val="00404054"/>
    <w:rsid w:val="00404631"/>
    <w:rsid w:val="00416155"/>
    <w:rsid w:val="00421D51"/>
    <w:rsid w:val="00430242"/>
    <w:rsid w:val="0043366A"/>
    <w:rsid w:val="00440404"/>
    <w:rsid w:val="004533E0"/>
    <w:rsid w:val="00463796"/>
    <w:rsid w:val="00470D47"/>
    <w:rsid w:val="00485CC1"/>
    <w:rsid w:val="00491EE4"/>
    <w:rsid w:val="004928A7"/>
    <w:rsid w:val="004A0A89"/>
    <w:rsid w:val="004A0DCE"/>
    <w:rsid w:val="004A1F22"/>
    <w:rsid w:val="004A4C46"/>
    <w:rsid w:val="004A6591"/>
    <w:rsid w:val="004B2A25"/>
    <w:rsid w:val="004B4C1F"/>
    <w:rsid w:val="004B67B8"/>
    <w:rsid w:val="004B6A0F"/>
    <w:rsid w:val="004C27DE"/>
    <w:rsid w:val="004C579C"/>
    <w:rsid w:val="004D3291"/>
    <w:rsid w:val="004E259C"/>
    <w:rsid w:val="004E6D0C"/>
    <w:rsid w:val="004F3DC7"/>
    <w:rsid w:val="00507EEA"/>
    <w:rsid w:val="00512808"/>
    <w:rsid w:val="00515F86"/>
    <w:rsid w:val="00521513"/>
    <w:rsid w:val="00524CC3"/>
    <w:rsid w:val="005256FF"/>
    <w:rsid w:val="0052666F"/>
    <w:rsid w:val="005579E5"/>
    <w:rsid w:val="00562114"/>
    <w:rsid w:val="005652C9"/>
    <w:rsid w:val="00571AB1"/>
    <w:rsid w:val="005720F5"/>
    <w:rsid w:val="0057652A"/>
    <w:rsid w:val="0057689A"/>
    <w:rsid w:val="00576962"/>
    <w:rsid w:val="00585F07"/>
    <w:rsid w:val="005A07BE"/>
    <w:rsid w:val="005A4392"/>
    <w:rsid w:val="005B66AE"/>
    <w:rsid w:val="005D106A"/>
    <w:rsid w:val="005D347D"/>
    <w:rsid w:val="005D349A"/>
    <w:rsid w:val="005D4309"/>
    <w:rsid w:val="005D58F1"/>
    <w:rsid w:val="005E236C"/>
    <w:rsid w:val="005E6070"/>
    <w:rsid w:val="005F694F"/>
    <w:rsid w:val="00610569"/>
    <w:rsid w:val="00622014"/>
    <w:rsid w:val="0062349D"/>
    <w:rsid w:val="00624FFF"/>
    <w:rsid w:val="00630B26"/>
    <w:rsid w:val="0063631C"/>
    <w:rsid w:val="006433D0"/>
    <w:rsid w:val="0064344E"/>
    <w:rsid w:val="00643EEB"/>
    <w:rsid w:val="00647755"/>
    <w:rsid w:val="00652CF0"/>
    <w:rsid w:val="006549CF"/>
    <w:rsid w:val="006565E9"/>
    <w:rsid w:val="00657050"/>
    <w:rsid w:val="00665BB9"/>
    <w:rsid w:val="00666FEA"/>
    <w:rsid w:val="00671B7B"/>
    <w:rsid w:val="00684628"/>
    <w:rsid w:val="0068471A"/>
    <w:rsid w:val="0069119E"/>
    <w:rsid w:val="00693785"/>
    <w:rsid w:val="00694066"/>
    <w:rsid w:val="00696D03"/>
    <w:rsid w:val="006A290C"/>
    <w:rsid w:val="006A7872"/>
    <w:rsid w:val="006A7AB7"/>
    <w:rsid w:val="006B0DB9"/>
    <w:rsid w:val="006D72B4"/>
    <w:rsid w:val="006E7352"/>
    <w:rsid w:val="006F50FE"/>
    <w:rsid w:val="0070555E"/>
    <w:rsid w:val="00713B7D"/>
    <w:rsid w:val="0071412F"/>
    <w:rsid w:val="00714E5B"/>
    <w:rsid w:val="007166CB"/>
    <w:rsid w:val="00716BA2"/>
    <w:rsid w:val="007201DD"/>
    <w:rsid w:val="00721C69"/>
    <w:rsid w:val="00723239"/>
    <w:rsid w:val="00723D2A"/>
    <w:rsid w:val="00725740"/>
    <w:rsid w:val="007311D2"/>
    <w:rsid w:val="007338F0"/>
    <w:rsid w:val="00741AE8"/>
    <w:rsid w:val="007430A5"/>
    <w:rsid w:val="00743865"/>
    <w:rsid w:val="00751005"/>
    <w:rsid w:val="007555E1"/>
    <w:rsid w:val="00756B68"/>
    <w:rsid w:val="0076564E"/>
    <w:rsid w:val="007757BA"/>
    <w:rsid w:val="0077796F"/>
    <w:rsid w:val="0078526C"/>
    <w:rsid w:val="00794277"/>
    <w:rsid w:val="00795481"/>
    <w:rsid w:val="00795846"/>
    <w:rsid w:val="007A320D"/>
    <w:rsid w:val="007A4F65"/>
    <w:rsid w:val="007A7BAF"/>
    <w:rsid w:val="007B3CC4"/>
    <w:rsid w:val="007B5768"/>
    <w:rsid w:val="007C115C"/>
    <w:rsid w:val="007F31E7"/>
    <w:rsid w:val="007F32B6"/>
    <w:rsid w:val="00800141"/>
    <w:rsid w:val="00805860"/>
    <w:rsid w:val="0082285E"/>
    <w:rsid w:val="0082446A"/>
    <w:rsid w:val="00830873"/>
    <w:rsid w:val="0083539F"/>
    <w:rsid w:val="00835FFC"/>
    <w:rsid w:val="00841D1C"/>
    <w:rsid w:val="00845538"/>
    <w:rsid w:val="008551EF"/>
    <w:rsid w:val="008566D8"/>
    <w:rsid w:val="0085750C"/>
    <w:rsid w:val="00861A79"/>
    <w:rsid w:val="00865A9D"/>
    <w:rsid w:val="00865E37"/>
    <w:rsid w:val="008727A3"/>
    <w:rsid w:val="00873750"/>
    <w:rsid w:val="008815E9"/>
    <w:rsid w:val="00881A2B"/>
    <w:rsid w:val="008867E7"/>
    <w:rsid w:val="00886996"/>
    <w:rsid w:val="008928D0"/>
    <w:rsid w:val="00894B96"/>
    <w:rsid w:val="00894D0B"/>
    <w:rsid w:val="00895B34"/>
    <w:rsid w:val="00896587"/>
    <w:rsid w:val="008A219E"/>
    <w:rsid w:val="008A358F"/>
    <w:rsid w:val="008A438F"/>
    <w:rsid w:val="008B00DE"/>
    <w:rsid w:val="008B1149"/>
    <w:rsid w:val="008B262D"/>
    <w:rsid w:val="008B4AC6"/>
    <w:rsid w:val="008C2DA9"/>
    <w:rsid w:val="008D20FD"/>
    <w:rsid w:val="008D25D8"/>
    <w:rsid w:val="008D3DB0"/>
    <w:rsid w:val="008D5295"/>
    <w:rsid w:val="008E1D6E"/>
    <w:rsid w:val="008E378F"/>
    <w:rsid w:val="00906559"/>
    <w:rsid w:val="00923203"/>
    <w:rsid w:val="009237B2"/>
    <w:rsid w:val="00937CE7"/>
    <w:rsid w:val="00942FC3"/>
    <w:rsid w:val="009512AD"/>
    <w:rsid w:val="0095335F"/>
    <w:rsid w:val="00955906"/>
    <w:rsid w:val="00955FA7"/>
    <w:rsid w:val="009603BD"/>
    <w:rsid w:val="00972801"/>
    <w:rsid w:val="00972C91"/>
    <w:rsid w:val="00972CBB"/>
    <w:rsid w:val="009739DD"/>
    <w:rsid w:val="00982E62"/>
    <w:rsid w:val="0099008F"/>
    <w:rsid w:val="00991367"/>
    <w:rsid w:val="009958B1"/>
    <w:rsid w:val="00995A21"/>
    <w:rsid w:val="009975D0"/>
    <w:rsid w:val="009A2684"/>
    <w:rsid w:val="009B55D3"/>
    <w:rsid w:val="009C1E5D"/>
    <w:rsid w:val="009C6BC2"/>
    <w:rsid w:val="009C6FAE"/>
    <w:rsid w:val="009C7982"/>
    <w:rsid w:val="009C7997"/>
    <w:rsid w:val="009D0496"/>
    <w:rsid w:val="009E349B"/>
    <w:rsid w:val="009E71BD"/>
    <w:rsid w:val="009E7C7E"/>
    <w:rsid w:val="009F1B83"/>
    <w:rsid w:val="009F328E"/>
    <w:rsid w:val="009F578B"/>
    <w:rsid w:val="009F6C97"/>
    <w:rsid w:val="009F7123"/>
    <w:rsid w:val="00A03930"/>
    <w:rsid w:val="00A04680"/>
    <w:rsid w:val="00A11495"/>
    <w:rsid w:val="00A20D06"/>
    <w:rsid w:val="00A21D80"/>
    <w:rsid w:val="00A220DC"/>
    <w:rsid w:val="00A24F17"/>
    <w:rsid w:val="00A25AA9"/>
    <w:rsid w:val="00A26B7A"/>
    <w:rsid w:val="00A27B69"/>
    <w:rsid w:val="00A302FC"/>
    <w:rsid w:val="00A30822"/>
    <w:rsid w:val="00A36889"/>
    <w:rsid w:val="00A469D6"/>
    <w:rsid w:val="00A47377"/>
    <w:rsid w:val="00A5211D"/>
    <w:rsid w:val="00A6084A"/>
    <w:rsid w:val="00A63AB3"/>
    <w:rsid w:val="00A64BE2"/>
    <w:rsid w:val="00A6615B"/>
    <w:rsid w:val="00A712BF"/>
    <w:rsid w:val="00A73C34"/>
    <w:rsid w:val="00A93F63"/>
    <w:rsid w:val="00AA184B"/>
    <w:rsid w:val="00AA1C0F"/>
    <w:rsid w:val="00AA3922"/>
    <w:rsid w:val="00AA397F"/>
    <w:rsid w:val="00AA5521"/>
    <w:rsid w:val="00AB7922"/>
    <w:rsid w:val="00AC5A50"/>
    <w:rsid w:val="00AE4AD0"/>
    <w:rsid w:val="00AE60BD"/>
    <w:rsid w:val="00AE76C4"/>
    <w:rsid w:val="00AF5E61"/>
    <w:rsid w:val="00AF6369"/>
    <w:rsid w:val="00B000C3"/>
    <w:rsid w:val="00B04BAD"/>
    <w:rsid w:val="00B0575C"/>
    <w:rsid w:val="00B11615"/>
    <w:rsid w:val="00B12823"/>
    <w:rsid w:val="00B166B6"/>
    <w:rsid w:val="00B224AB"/>
    <w:rsid w:val="00B26FDF"/>
    <w:rsid w:val="00B358D0"/>
    <w:rsid w:val="00B35C3E"/>
    <w:rsid w:val="00B40FA6"/>
    <w:rsid w:val="00B41703"/>
    <w:rsid w:val="00B51050"/>
    <w:rsid w:val="00B51568"/>
    <w:rsid w:val="00B51F70"/>
    <w:rsid w:val="00B526AE"/>
    <w:rsid w:val="00B52F58"/>
    <w:rsid w:val="00B63DDE"/>
    <w:rsid w:val="00B71726"/>
    <w:rsid w:val="00B718F0"/>
    <w:rsid w:val="00B722B8"/>
    <w:rsid w:val="00B72965"/>
    <w:rsid w:val="00B82FF7"/>
    <w:rsid w:val="00B869B7"/>
    <w:rsid w:val="00B9682A"/>
    <w:rsid w:val="00BA0E29"/>
    <w:rsid w:val="00BA30C6"/>
    <w:rsid w:val="00BA427F"/>
    <w:rsid w:val="00BA47DC"/>
    <w:rsid w:val="00BA5384"/>
    <w:rsid w:val="00BB016B"/>
    <w:rsid w:val="00BB0E1E"/>
    <w:rsid w:val="00BB2D70"/>
    <w:rsid w:val="00BB3FB3"/>
    <w:rsid w:val="00BB5F97"/>
    <w:rsid w:val="00BC13B7"/>
    <w:rsid w:val="00BC1C78"/>
    <w:rsid w:val="00BC4983"/>
    <w:rsid w:val="00BC4B89"/>
    <w:rsid w:val="00BC69D6"/>
    <w:rsid w:val="00BE45B8"/>
    <w:rsid w:val="00BE62F7"/>
    <w:rsid w:val="00BF5826"/>
    <w:rsid w:val="00BF5F8A"/>
    <w:rsid w:val="00C135E6"/>
    <w:rsid w:val="00C15FA7"/>
    <w:rsid w:val="00C30F1F"/>
    <w:rsid w:val="00C340E3"/>
    <w:rsid w:val="00C36DB2"/>
    <w:rsid w:val="00C40D18"/>
    <w:rsid w:val="00C47656"/>
    <w:rsid w:val="00C502A6"/>
    <w:rsid w:val="00C5035F"/>
    <w:rsid w:val="00C52013"/>
    <w:rsid w:val="00C6429B"/>
    <w:rsid w:val="00C653EB"/>
    <w:rsid w:val="00C65F69"/>
    <w:rsid w:val="00C6657B"/>
    <w:rsid w:val="00C67547"/>
    <w:rsid w:val="00C970F9"/>
    <w:rsid w:val="00C978B1"/>
    <w:rsid w:val="00CA1C88"/>
    <w:rsid w:val="00CA5578"/>
    <w:rsid w:val="00CB2EC2"/>
    <w:rsid w:val="00CB4B92"/>
    <w:rsid w:val="00CC0A0A"/>
    <w:rsid w:val="00CC12CD"/>
    <w:rsid w:val="00CD1072"/>
    <w:rsid w:val="00CD1EB7"/>
    <w:rsid w:val="00CD5486"/>
    <w:rsid w:val="00CE56CB"/>
    <w:rsid w:val="00CF7A65"/>
    <w:rsid w:val="00D01ECF"/>
    <w:rsid w:val="00D0267D"/>
    <w:rsid w:val="00D05570"/>
    <w:rsid w:val="00D066CF"/>
    <w:rsid w:val="00D23D10"/>
    <w:rsid w:val="00D25996"/>
    <w:rsid w:val="00D306FD"/>
    <w:rsid w:val="00D43FEB"/>
    <w:rsid w:val="00D46AFB"/>
    <w:rsid w:val="00D47121"/>
    <w:rsid w:val="00D535D0"/>
    <w:rsid w:val="00D618F8"/>
    <w:rsid w:val="00D61A9F"/>
    <w:rsid w:val="00D6404E"/>
    <w:rsid w:val="00D65E85"/>
    <w:rsid w:val="00D73B3A"/>
    <w:rsid w:val="00D76C1D"/>
    <w:rsid w:val="00D93432"/>
    <w:rsid w:val="00D93DAB"/>
    <w:rsid w:val="00DA44CF"/>
    <w:rsid w:val="00DA7FD9"/>
    <w:rsid w:val="00DB0EEA"/>
    <w:rsid w:val="00DB3879"/>
    <w:rsid w:val="00DC06A2"/>
    <w:rsid w:val="00DC1FEA"/>
    <w:rsid w:val="00DD013C"/>
    <w:rsid w:val="00DD0523"/>
    <w:rsid w:val="00DD6873"/>
    <w:rsid w:val="00DD6CBF"/>
    <w:rsid w:val="00DD702B"/>
    <w:rsid w:val="00DE4C01"/>
    <w:rsid w:val="00DE6421"/>
    <w:rsid w:val="00DE763C"/>
    <w:rsid w:val="00DF353C"/>
    <w:rsid w:val="00E0279F"/>
    <w:rsid w:val="00E05638"/>
    <w:rsid w:val="00E06225"/>
    <w:rsid w:val="00E07BF3"/>
    <w:rsid w:val="00E10E8F"/>
    <w:rsid w:val="00E211CF"/>
    <w:rsid w:val="00E305BF"/>
    <w:rsid w:val="00E42D59"/>
    <w:rsid w:val="00E446A9"/>
    <w:rsid w:val="00E62E61"/>
    <w:rsid w:val="00E67FE0"/>
    <w:rsid w:val="00E70D16"/>
    <w:rsid w:val="00E72410"/>
    <w:rsid w:val="00E72F4A"/>
    <w:rsid w:val="00E732E4"/>
    <w:rsid w:val="00E81DEC"/>
    <w:rsid w:val="00E85F86"/>
    <w:rsid w:val="00EA0AB9"/>
    <w:rsid w:val="00EA13DD"/>
    <w:rsid w:val="00EA6336"/>
    <w:rsid w:val="00EA68E7"/>
    <w:rsid w:val="00EB4B9A"/>
    <w:rsid w:val="00ED3652"/>
    <w:rsid w:val="00EE17CD"/>
    <w:rsid w:val="00EF64B1"/>
    <w:rsid w:val="00F040EA"/>
    <w:rsid w:val="00F042F8"/>
    <w:rsid w:val="00F117D4"/>
    <w:rsid w:val="00F37415"/>
    <w:rsid w:val="00F43095"/>
    <w:rsid w:val="00F47A8A"/>
    <w:rsid w:val="00F55091"/>
    <w:rsid w:val="00F55646"/>
    <w:rsid w:val="00F608F9"/>
    <w:rsid w:val="00F62AFB"/>
    <w:rsid w:val="00F6358E"/>
    <w:rsid w:val="00F64DA4"/>
    <w:rsid w:val="00F67056"/>
    <w:rsid w:val="00F73B03"/>
    <w:rsid w:val="00F80D88"/>
    <w:rsid w:val="00F8475C"/>
    <w:rsid w:val="00F8567C"/>
    <w:rsid w:val="00F85A36"/>
    <w:rsid w:val="00F86F21"/>
    <w:rsid w:val="00F95902"/>
    <w:rsid w:val="00FB3EC7"/>
    <w:rsid w:val="00FC1C98"/>
    <w:rsid w:val="00FC4910"/>
    <w:rsid w:val="00FC7248"/>
    <w:rsid w:val="00FD215C"/>
    <w:rsid w:val="00FE74BD"/>
    <w:rsid w:val="00FF7457"/>
    <w:rsid w:val="05AD6153"/>
    <w:rsid w:val="0628D231"/>
    <w:rsid w:val="0750B00B"/>
    <w:rsid w:val="0E01CB3B"/>
    <w:rsid w:val="1780FDA3"/>
    <w:rsid w:val="1A531227"/>
    <w:rsid w:val="3217D5A3"/>
    <w:rsid w:val="32F59096"/>
    <w:rsid w:val="37082D40"/>
    <w:rsid w:val="3A247BFC"/>
    <w:rsid w:val="467F689B"/>
    <w:rsid w:val="4FCD80D3"/>
    <w:rsid w:val="578D5069"/>
    <w:rsid w:val="581BACBC"/>
    <w:rsid w:val="617DBCB5"/>
    <w:rsid w:val="64033749"/>
    <w:rsid w:val="66076AB8"/>
    <w:rsid w:val="6627000A"/>
    <w:rsid w:val="6E117B89"/>
    <w:rsid w:val="75A940BE"/>
    <w:rsid w:val="7B92C68B"/>
    <w:rsid w:val="7E8CD966"/>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C52579"/>
  <w15:chartTrackingRefBased/>
  <w15:docId w15:val="{24D01E81-0E4D-441A-AB4B-BF7F97B2E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579E5"/>
    <w:pPr>
      <w:spacing w:after="120"/>
      <w:jc w:val="both"/>
    </w:pPr>
  </w:style>
  <w:style w:type="paragraph" w:styleId="Nadpis1">
    <w:name w:val="heading 1"/>
    <w:basedOn w:val="Normln"/>
    <w:next w:val="Normln"/>
    <w:link w:val="Nadpis1Char"/>
    <w:uiPriority w:val="9"/>
    <w:qFormat/>
    <w:rsid w:val="005579E5"/>
    <w:pPr>
      <w:keepNext/>
      <w:keepLines/>
      <w:numPr>
        <w:numId w:val="1"/>
      </w:numPr>
      <w:spacing w:before="240" w:after="0"/>
      <w:jc w:val="left"/>
      <w:outlineLvl w:val="0"/>
    </w:pPr>
    <w:rPr>
      <w:rFonts w:asciiTheme="majorHAnsi" w:eastAsiaTheme="majorEastAsia" w:hAnsiTheme="majorHAnsi" w:cstheme="majorBidi"/>
      <w:caps/>
      <w:color w:val="2E74B5" w:themeColor="accent1" w:themeShade="BF"/>
      <w:sz w:val="32"/>
      <w:szCs w:val="32"/>
    </w:rPr>
  </w:style>
  <w:style w:type="paragraph" w:styleId="Nadpis2">
    <w:name w:val="heading 2"/>
    <w:basedOn w:val="Normln"/>
    <w:next w:val="Normln"/>
    <w:link w:val="Nadpis2Char"/>
    <w:uiPriority w:val="9"/>
    <w:unhideWhenUsed/>
    <w:qFormat/>
    <w:rsid w:val="009237B2"/>
    <w:pPr>
      <w:keepNext/>
      <w:keepLines/>
      <w:numPr>
        <w:ilvl w:val="1"/>
        <w:numId w:val="1"/>
      </w:numPr>
      <w:spacing w:before="40" w:after="0"/>
      <w:outlineLvl w:val="1"/>
    </w:pPr>
    <w:rPr>
      <w:rFonts w:asciiTheme="majorHAnsi" w:eastAsiaTheme="majorEastAsia" w:hAnsiTheme="majorHAnsi" w:cstheme="majorBidi"/>
      <w:color w:val="2E74B5" w:themeColor="accent1" w:themeShade="BF"/>
      <w:sz w:val="26"/>
      <w:szCs w:val="26"/>
    </w:rPr>
  </w:style>
  <w:style w:type="paragraph" w:styleId="Nadpis6">
    <w:name w:val="heading 6"/>
    <w:basedOn w:val="Normln"/>
    <w:next w:val="Normln"/>
    <w:link w:val="Nadpis6Char"/>
    <w:uiPriority w:val="9"/>
    <w:semiHidden/>
    <w:unhideWhenUsed/>
    <w:qFormat/>
    <w:rsid w:val="003645DA"/>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link w:val="NzevChar"/>
    <w:uiPriority w:val="10"/>
    <w:qFormat/>
    <w:rsid w:val="00A3688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36889"/>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7F32B6"/>
    <w:pPr>
      <w:numPr>
        <w:ilvl w:val="1"/>
      </w:numPr>
    </w:pPr>
    <w:rPr>
      <w:rFonts w:eastAsiaTheme="minorEastAsia"/>
      <w:color w:val="5A5A5A" w:themeColor="text1" w:themeTint="A5"/>
      <w:spacing w:val="15"/>
      <w:sz w:val="28"/>
    </w:rPr>
  </w:style>
  <w:style w:type="character" w:customStyle="1" w:styleId="PodnadpisChar">
    <w:name w:val="Podnadpis Char"/>
    <w:basedOn w:val="Standardnpsmoodstavce"/>
    <w:link w:val="Podnadpis"/>
    <w:uiPriority w:val="11"/>
    <w:rsid w:val="007F32B6"/>
    <w:rPr>
      <w:rFonts w:eastAsiaTheme="minorEastAsia"/>
      <w:color w:val="5A5A5A" w:themeColor="text1" w:themeTint="A5"/>
      <w:spacing w:val="15"/>
      <w:sz w:val="28"/>
    </w:rPr>
  </w:style>
  <w:style w:type="character" w:customStyle="1" w:styleId="Nadpis1Char">
    <w:name w:val="Nadpis 1 Char"/>
    <w:basedOn w:val="Standardnpsmoodstavce"/>
    <w:link w:val="Nadpis1"/>
    <w:uiPriority w:val="9"/>
    <w:rsid w:val="005579E5"/>
    <w:rPr>
      <w:rFonts w:asciiTheme="majorHAnsi" w:eastAsiaTheme="majorEastAsia" w:hAnsiTheme="majorHAnsi" w:cstheme="majorBidi"/>
      <w:caps/>
      <w:color w:val="2E74B5" w:themeColor="accent1" w:themeShade="BF"/>
      <w:sz w:val="32"/>
      <w:szCs w:val="32"/>
    </w:rPr>
  </w:style>
  <w:style w:type="paragraph" w:styleId="Textpoznpodarou">
    <w:name w:val="footnote text"/>
    <w:aliases w:val=" Char3,Schriftart: 9 pt,Schriftart: 10 pt,Schriftart: 8 pt,pozn. pod čarou,Text poznámky pod čiarou 007,Fußnotentextf,Geneva 9,Font: Geneva 9,Boston 10,f"/>
    <w:basedOn w:val="Normln"/>
    <w:link w:val="TextpoznpodarouChar"/>
    <w:rsid w:val="00A36889"/>
    <w:pPr>
      <w:spacing w:after="0" w:line="240" w:lineRule="auto"/>
    </w:pPr>
    <w:rPr>
      <w:rFonts w:ascii="Times New Roman" w:eastAsia="Times New Roman" w:hAnsi="Times New Roman" w:cs="Times New Roman"/>
      <w:sz w:val="20"/>
      <w:szCs w:val="20"/>
      <w:lang w:eastAsia="cs-CZ"/>
    </w:rPr>
  </w:style>
  <w:style w:type="character" w:customStyle="1" w:styleId="TextpoznpodarouChar">
    <w:name w:val="Text pozn. pod čarou Char"/>
    <w:aliases w:val=" Char3 Char,Schriftart: 9 pt Char,Schriftart: 10 pt Char,Schriftart: 8 pt Char,pozn. pod čarou Char,Text poznámky pod čiarou 007 Char,Fußnotentextf Char,Geneva 9 Char,Font: Geneva 9 Char,Boston 10 Char,f Char"/>
    <w:basedOn w:val="Standardnpsmoodstavce"/>
    <w:link w:val="Textpoznpodarou"/>
    <w:rsid w:val="00A36889"/>
    <w:rPr>
      <w:rFonts w:ascii="Times New Roman" w:eastAsia="Times New Roman" w:hAnsi="Times New Roman" w:cs="Times New Roman"/>
      <w:sz w:val="20"/>
      <w:szCs w:val="20"/>
      <w:lang w:eastAsia="cs-CZ"/>
    </w:rPr>
  </w:style>
  <w:style w:type="character" w:styleId="Znakapoznpodarou">
    <w:name w:val="footnote reference"/>
    <w:aliases w:val="PGI Fußnote Ziffer"/>
    <w:rsid w:val="00A36889"/>
    <w:rPr>
      <w:vertAlign w:val="superscript"/>
    </w:rPr>
  </w:style>
  <w:style w:type="character" w:styleId="Siln">
    <w:name w:val="Strong"/>
    <w:basedOn w:val="Standardnpsmoodstavce"/>
    <w:uiPriority w:val="22"/>
    <w:qFormat/>
    <w:rsid w:val="003645DA"/>
    <w:rPr>
      <w:b/>
      <w:bCs/>
    </w:rPr>
  </w:style>
  <w:style w:type="character" w:customStyle="1" w:styleId="Nadpis2Char">
    <w:name w:val="Nadpis 2 Char"/>
    <w:basedOn w:val="Standardnpsmoodstavce"/>
    <w:link w:val="Nadpis2"/>
    <w:uiPriority w:val="9"/>
    <w:rsid w:val="009237B2"/>
    <w:rPr>
      <w:rFonts w:asciiTheme="majorHAnsi" w:eastAsiaTheme="majorEastAsia" w:hAnsiTheme="majorHAnsi" w:cstheme="majorBidi"/>
      <w:color w:val="2E74B5" w:themeColor="accent1" w:themeShade="BF"/>
      <w:sz w:val="26"/>
      <w:szCs w:val="26"/>
    </w:rPr>
  </w:style>
  <w:style w:type="paragraph" w:styleId="Odstavecseseznamem">
    <w:name w:val="List Paragraph"/>
    <w:aliases w:val="Reference List,Nad,Odstavec cíl se seznamem,Odstavec se seznamem5,Odstavec_muj,nad 1,Název grafu"/>
    <w:basedOn w:val="Normln"/>
    <w:link w:val="OdstavecseseznamemChar"/>
    <w:uiPriority w:val="34"/>
    <w:qFormat/>
    <w:rsid w:val="003645DA"/>
    <w:pPr>
      <w:spacing w:after="0" w:line="240" w:lineRule="auto"/>
      <w:ind w:left="720"/>
    </w:pPr>
    <w:rPr>
      <w:rFonts w:ascii="Calibri" w:eastAsia="Calibri" w:hAnsi="Calibri" w:cs="Times New Roman"/>
    </w:rPr>
  </w:style>
  <w:style w:type="table" w:styleId="Mkatabulky">
    <w:name w:val="Table Grid"/>
    <w:basedOn w:val="Normlntabulka"/>
    <w:uiPriority w:val="39"/>
    <w:rsid w:val="003645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Reference List Char,Nad Char,Odstavec cíl se seznamem Char,Odstavec se seznamem5 Char,Odstavec_muj Char,nad 1 Char,Název grafu Char"/>
    <w:basedOn w:val="Standardnpsmoodstavce"/>
    <w:link w:val="Odstavecseseznamem"/>
    <w:uiPriority w:val="34"/>
    <w:qFormat/>
    <w:rsid w:val="003645DA"/>
    <w:rPr>
      <w:rFonts w:ascii="Calibri" w:eastAsia="Calibri" w:hAnsi="Calibri" w:cs="Times New Roman"/>
    </w:rPr>
  </w:style>
  <w:style w:type="table" w:customStyle="1" w:styleId="Style1">
    <w:name w:val="Style1"/>
    <w:basedOn w:val="Normlntabulka"/>
    <w:uiPriority w:val="99"/>
    <w:rsid w:val="003645DA"/>
    <w:pPr>
      <w:spacing w:after="0" w:line="240" w:lineRule="auto"/>
      <w:contextualSpacing/>
    </w:pPr>
    <w:rPr>
      <w:rFonts w:ascii="Calibri" w:eastAsia="Times New Roman" w:hAnsi="Calibri" w:cs="Times New Roman"/>
      <w:sz w:val="20"/>
      <w:szCs w:val="20"/>
      <w:lang w:eastAsia="ja-JP"/>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Pr>
    <w:tcPr>
      <w:shd w:val="clear" w:color="auto" w:fill="FFFFFF" w:themeFill="background1"/>
    </w:tcPr>
    <w:tblStylePr w:type="firstRow">
      <w:pPr>
        <w:wordWrap/>
        <w:spacing w:beforeLines="0" w:before="0" w:beforeAutospacing="0" w:afterLines="0" w:after="0" w:afterAutospacing="0" w:line="240" w:lineRule="auto"/>
      </w:pPr>
      <w:rPr>
        <w:rFonts w:ascii="Calibri" w:hAnsi="Calibri"/>
        <w:b/>
        <w:bCs/>
        <w:i w:val="0"/>
        <w:color w:val="auto"/>
        <w:sz w:val="20"/>
      </w:rPr>
      <w:tblPr/>
      <w:tcPr>
        <w:tcBorders>
          <w:top w:val="single" w:sz="4" w:space="0" w:color="auto"/>
          <w:left w:val="single" w:sz="4" w:space="0" w:color="auto"/>
          <w:bottom w:val="single" w:sz="4" w:space="0" w:color="auto"/>
          <w:right w:val="single" w:sz="4" w:space="0" w:color="auto"/>
          <w:insideH w:val="nil"/>
          <w:insideV w:val="single" w:sz="4" w:space="0" w:color="auto"/>
        </w:tcBorders>
        <w:shd w:val="clear" w:color="auto" w:fill="CEEBF3"/>
      </w:tcPr>
    </w:tblStylePr>
    <w:tblStylePr w:type="lastRow">
      <w:rPr>
        <w:b/>
        <w:bCs/>
      </w:rPr>
      <w:tblPr/>
      <w:tcPr>
        <w:tcBorders>
          <w:top w:val="single" w:sz="4" w:space="0" w:color="auto"/>
          <w:left w:val="single" w:sz="4" w:space="0" w:color="auto"/>
          <w:bottom w:val="single" w:sz="4" w:space="0" w:color="auto"/>
          <w:right w:val="single" w:sz="4" w:space="0" w:color="auto"/>
          <w:insideV w:val="single" w:sz="4" w:space="0" w:color="auto"/>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Nadpis6Char">
    <w:name w:val="Nadpis 6 Char"/>
    <w:basedOn w:val="Standardnpsmoodstavce"/>
    <w:link w:val="Nadpis6"/>
    <w:uiPriority w:val="9"/>
    <w:semiHidden/>
    <w:rsid w:val="003645DA"/>
    <w:rPr>
      <w:rFonts w:asciiTheme="majorHAnsi" w:eastAsiaTheme="majorEastAsia" w:hAnsiTheme="majorHAnsi" w:cstheme="majorBidi"/>
      <w:color w:val="1F4D78" w:themeColor="accent1" w:themeShade="7F"/>
    </w:rPr>
  </w:style>
  <w:style w:type="character" w:styleId="Odkaznakoment">
    <w:name w:val="annotation reference"/>
    <w:basedOn w:val="Standardnpsmoodstavce"/>
    <w:uiPriority w:val="99"/>
    <w:unhideWhenUsed/>
    <w:rsid w:val="003645DA"/>
    <w:rPr>
      <w:sz w:val="16"/>
      <w:szCs w:val="16"/>
    </w:rPr>
  </w:style>
  <w:style w:type="paragraph" w:styleId="Textkomente">
    <w:name w:val="annotation text"/>
    <w:basedOn w:val="Normln"/>
    <w:link w:val="TextkomenteChar"/>
    <w:uiPriority w:val="99"/>
    <w:unhideWhenUsed/>
    <w:rsid w:val="003645DA"/>
    <w:pPr>
      <w:spacing w:line="240" w:lineRule="auto"/>
    </w:pPr>
    <w:rPr>
      <w:sz w:val="20"/>
      <w:szCs w:val="20"/>
    </w:rPr>
  </w:style>
  <w:style w:type="character" w:customStyle="1" w:styleId="TextkomenteChar">
    <w:name w:val="Text komentáře Char"/>
    <w:basedOn w:val="Standardnpsmoodstavce"/>
    <w:link w:val="Textkomente"/>
    <w:uiPriority w:val="99"/>
    <w:rsid w:val="003645DA"/>
    <w:rPr>
      <w:sz w:val="20"/>
      <w:szCs w:val="20"/>
    </w:rPr>
  </w:style>
  <w:style w:type="paragraph" w:styleId="Pedmtkomente">
    <w:name w:val="annotation subject"/>
    <w:basedOn w:val="Textkomente"/>
    <w:next w:val="Textkomente"/>
    <w:link w:val="PedmtkomenteChar"/>
    <w:uiPriority w:val="99"/>
    <w:semiHidden/>
    <w:unhideWhenUsed/>
    <w:rsid w:val="003645DA"/>
    <w:rPr>
      <w:b/>
      <w:bCs/>
    </w:rPr>
  </w:style>
  <w:style w:type="character" w:customStyle="1" w:styleId="PedmtkomenteChar">
    <w:name w:val="Předmět komentáře Char"/>
    <w:basedOn w:val="TextkomenteChar"/>
    <w:link w:val="Pedmtkomente"/>
    <w:uiPriority w:val="99"/>
    <w:semiHidden/>
    <w:rsid w:val="003645DA"/>
    <w:rPr>
      <w:b/>
      <w:bCs/>
      <w:sz w:val="20"/>
      <w:szCs w:val="20"/>
    </w:rPr>
  </w:style>
  <w:style w:type="paragraph" w:styleId="Textbubliny">
    <w:name w:val="Balloon Text"/>
    <w:basedOn w:val="Normln"/>
    <w:link w:val="TextbublinyChar"/>
    <w:uiPriority w:val="99"/>
    <w:semiHidden/>
    <w:unhideWhenUsed/>
    <w:rsid w:val="003645D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645DA"/>
    <w:rPr>
      <w:rFonts w:ascii="Segoe UI" w:hAnsi="Segoe UI" w:cs="Segoe UI"/>
      <w:sz w:val="18"/>
      <w:szCs w:val="18"/>
    </w:rPr>
  </w:style>
  <w:style w:type="character" w:styleId="Zstupntext">
    <w:name w:val="Placeholder Text"/>
    <w:basedOn w:val="Standardnpsmoodstavce"/>
    <w:uiPriority w:val="99"/>
    <w:semiHidden/>
    <w:rsid w:val="003645DA"/>
    <w:rPr>
      <w:color w:val="808080"/>
    </w:rPr>
  </w:style>
  <w:style w:type="paragraph" w:styleId="Bezmezer">
    <w:name w:val="No Spacing"/>
    <w:link w:val="BezmezerChar"/>
    <w:uiPriority w:val="1"/>
    <w:qFormat/>
    <w:rsid w:val="0083539F"/>
    <w:pPr>
      <w:spacing w:after="0" w:line="240" w:lineRule="auto"/>
    </w:pPr>
    <w:rPr>
      <w:rFonts w:eastAsiaTheme="minorEastAsia"/>
      <w:lang w:eastAsia="cs-CZ"/>
    </w:rPr>
  </w:style>
  <w:style w:type="character" w:customStyle="1" w:styleId="BezmezerChar">
    <w:name w:val="Bez mezer Char"/>
    <w:basedOn w:val="Standardnpsmoodstavce"/>
    <w:link w:val="Bezmezer"/>
    <w:uiPriority w:val="1"/>
    <w:rsid w:val="0083539F"/>
    <w:rPr>
      <w:rFonts w:eastAsiaTheme="minorEastAsia"/>
      <w:lang w:eastAsia="cs-CZ"/>
    </w:rPr>
  </w:style>
  <w:style w:type="character" w:styleId="Hypertextovodkaz">
    <w:name w:val="Hyperlink"/>
    <w:basedOn w:val="Standardnpsmoodstavce"/>
    <w:uiPriority w:val="99"/>
    <w:unhideWhenUsed/>
    <w:rsid w:val="00F85A36"/>
    <w:rPr>
      <w:color w:val="0000FF"/>
      <w:u w:val="single"/>
    </w:rPr>
  </w:style>
  <w:style w:type="paragraph" w:styleId="Zhlav">
    <w:name w:val="header"/>
    <w:basedOn w:val="Normln"/>
    <w:link w:val="ZhlavChar"/>
    <w:uiPriority w:val="99"/>
    <w:unhideWhenUsed/>
    <w:rsid w:val="0025614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5614C"/>
  </w:style>
  <w:style w:type="paragraph" w:styleId="Zpat">
    <w:name w:val="footer"/>
    <w:basedOn w:val="Normln"/>
    <w:link w:val="ZpatChar"/>
    <w:uiPriority w:val="99"/>
    <w:unhideWhenUsed/>
    <w:rsid w:val="0025614C"/>
    <w:pPr>
      <w:tabs>
        <w:tab w:val="center" w:pos="4536"/>
        <w:tab w:val="right" w:pos="9072"/>
      </w:tabs>
      <w:spacing w:after="0" w:line="240" w:lineRule="auto"/>
    </w:pPr>
  </w:style>
  <w:style w:type="character" w:customStyle="1" w:styleId="ZpatChar">
    <w:name w:val="Zápatí Char"/>
    <w:basedOn w:val="Standardnpsmoodstavce"/>
    <w:link w:val="Zpat"/>
    <w:uiPriority w:val="99"/>
    <w:rsid w:val="0025614C"/>
  </w:style>
  <w:style w:type="table" w:customStyle="1" w:styleId="TableGrid1">
    <w:name w:val="Table Grid1"/>
    <w:basedOn w:val="Normlntabulka"/>
    <w:next w:val="Mkatabulky"/>
    <w:uiPriority w:val="39"/>
    <w:rsid w:val="00DA7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ovanodkaz">
    <w:name w:val="FollowedHyperlink"/>
    <w:basedOn w:val="Standardnpsmoodstavce"/>
    <w:uiPriority w:val="99"/>
    <w:semiHidden/>
    <w:unhideWhenUsed/>
    <w:rsid w:val="00FB3EC7"/>
    <w:rPr>
      <w:color w:val="954F72" w:themeColor="followedHyperlink"/>
      <w:u w:val="single"/>
    </w:rPr>
  </w:style>
  <w:style w:type="character" w:styleId="Zdraznnjemn">
    <w:name w:val="Subtle Emphasis"/>
    <w:basedOn w:val="Standardnpsmoodstavce"/>
    <w:uiPriority w:val="19"/>
    <w:qFormat/>
    <w:rsid w:val="002E2D5D"/>
    <w:rPr>
      <w:i/>
      <w:iCs/>
      <w:color w:val="404040" w:themeColor="text1" w:themeTint="BF"/>
    </w:rPr>
  </w:style>
  <w:style w:type="paragraph" w:styleId="Zkladntextodsazen">
    <w:name w:val="Body Text Indent"/>
    <w:basedOn w:val="Normln"/>
    <w:link w:val="ZkladntextodsazenChar"/>
    <w:rsid w:val="00A24F17"/>
    <w:pPr>
      <w:spacing w:line="240" w:lineRule="auto"/>
      <w:ind w:left="283"/>
    </w:pPr>
    <w:rPr>
      <w:rFonts w:ascii="Times New Roman" w:eastAsia="Times New Roman" w:hAnsi="Times New Roman" w:cs="Times New Roman"/>
      <w:sz w:val="24"/>
      <w:szCs w:val="24"/>
      <w:lang w:eastAsia="cs-CZ"/>
    </w:rPr>
  </w:style>
  <w:style w:type="character" w:customStyle="1" w:styleId="ZkladntextodsazenChar">
    <w:name w:val="Základní text odsazený Char"/>
    <w:basedOn w:val="Standardnpsmoodstavce"/>
    <w:link w:val="Zkladntextodsazen"/>
    <w:rsid w:val="00A24F17"/>
    <w:rPr>
      <w:rFonts w:ascii="Times New Roman" w:eastAsia="Times New Roman" w:hAnsi="Times New Roman" w:cs="Times New Roman"/>
      <w:sz w:val="24"/>
      <w:szCs w:val="24"/>
      <w:lang w:eastAsia="cs-CZ"/>
    </w:rPr>
  </w:style>
  <w:style w:type="paragraph" w:styleId="Revize">
    <w:name w:val="Revision"/>
    <w:hidden/>
    <w:uiPriority w:val="99"/>
    <w:semiHidden/>
    <w:rsid w:val="004B4C1F"/>
    <w:pPr>
      <w:spacing w:after="0" w:line="240" w:lineRule="auto"/>
    </w:pPr>
  </w:style>
  <w:style w:type="character" w:customStyle="1" w:styleId="normaltextrun">
    <w:name w:val="normaltextrun"/>
    <w:basedOn w:val="Standardnpsmoodstavce"/>
    <w:rsid w:val="00DB3879"/>
  </w:style>
  <w:style w:type="character" w:customStyle="1" w:styleId="eop">
    <w:name w:val="eop"/>
    <w:basedOn w:val="Standardnpsmoodstavce"/>
    <w:rsid w:val="00DB38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702D49CF9CF46E1AE16F91879EB123B"/>
        <w:category>
          <w:name w:val="Obecné"/>
          <w:gallery w:val="placeholder"/>
        </w:category>
        <w:types>
          <w:type w:val="bbPlcHdr"/>
        </w:types>
        <w:behaviors>
          <w:behavior w:val="content"/>
        </w:behaviors>
        <w:guid w:val="{FB46CBBA-C62B-4853-97B4-A3471D0EE1E5}"/>
      </w:docPartPr>
      <w:docPartBody>
        <w:p w:rsidR="003B71AE" w:rsidRDefault="003B71AE" w:rsidP="003B71AE">
          <w:pPr>
            <w:pStyle w:val="2702D49CF9CF46E1AE16F91879EB123B"/>
          </w:pPr>
          <w:r w:rsidRPr="00C978B1">
            <w:rPr>
              <w:rFonts w:cstheme="minorHAnsi"/>
            </w:rPr>
            <w:t>Zvolte položku.</w:t>
          </w:r>
        </w:p>
      </w:docPartBody>
    </w:docPart>
    <w:docPart>
      <w:docPartPr>
        <w:name w:val="378990D007064F55A30BAC0792E1D18B"/>
        <w:category>
          <w:name w:val="Obecné"/>
          <w:gallery w:val="placeholder"/>
        </w:category>
        <w:types>
          <w:type w:val="bbPlcHdr"/>
        </w:types>
        <w:behaviors>
          <w:behavior w:val="content"/>
        </w:behaviors>
        <w:guid w:val="{0CFA44BF-4B32-46B0-976C-07BDCC2CD3A1}"/>
      </w:docPartPr>
      <w:docPartBody>
        <w:p w:rsidR="003B71AE" w:rsidRDefault="003B71AE" w:rsidP="003B71AE">
          <w:pPr>
            <w:pStyle w:val="378990D007064F55A30BAC0792E1D18B"/>
          </w:pPr>
          <w:r w:rsidRPr="00C978B1">
            <w:rPr>
              <w:rFonts w:cstheme="minorHAnsi"/>
            </w:rPr>
            <w:t>Zvolte položku.</w:t>
          </w:r>
        </w:p>
      </w:docPartBody>
    </w:docPart>
    <w:docPart>
      <w:docPartPr>
        <w:name w:val="B4352C5DBF6A4C1E87481D0411D01F51"/>
        <w:category>
          <w:name w:val="Obecné"/>
          <w:gallery w:val="placeholder"/>
        </w:category>
        <w:types>
          <w:type w:val="bbPlcHdr"/>
        </w:types>
        <w:behaviors>
          <w:behavior w:val="content"/>
        </w:behaviors>
        <w:guid w:val="{E929E916-779A-46FE-8B1D-E6B4B1C11B34}"/>
      </w:docPartPr>
      <w:docPartBody>
        <w:p w:rsidR="003B71AE" w:rsidRDefault="003B71AE" w:rsidP="003B71AE">
          <w:pPr>
            <w:pStyle w:val="B4352C5DBF6A4C1E87481D0411D01F51"/>
          </w:pPr>
          <w:r w:rsidRPr="00C978B1">
            <w:rPr>
              <w:rFonts w:cstheme="minorHAnsi"/>
            </w:rPr>
            <w:t>Zvolte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4064"/>
    <w:rsid w:val="00017429"/>
    <w:rsid w:val="000201FD"/>
    <w:rsid w:val="000353EC"/>
    <w:rsid w:val="00084064"/>
    <w:rsid w:val="000A18AD"/>
    <w:rsid w:val="000C134C"/>
    <w:rsid w:val="001C1B72"/>
    <w:rsid w:val="001C2B3B"/>
    <w:rsid w:val="001F12BA"/>
    <w:rsid w:val="00212330"/>
    <w:rsid w:val="00267C2C"/>
    <w:rsid w:val="003B71AE"/>
    <w:rsid w:val="00485CC1"/>
    <w:rsid w:val="004A0DCE"/>
    <w:rsid w:val="004A5C77"/>
    <w:rsid w:val="004B67B8"/>
    <w:rsid w:val="004E6D0C"/>
    <w:rsid w:val="00512808"/>
    <w:rsid w:val="00521513"/>
    <w:rsid w:val="0057652A"/>
    <w:rsid w:val="005D106A"/>
    <w:rsid w:val="0063631C"/>
    <w:rsid w:val="00636EBA"/>
    <w:rsid w:val="006D72B4"/>
    <w:rsid w:val="006F15B6"/>
    <w:rsid w:val="00723239"/>
    <w:rsid w:val="00743865"/>
    <w:rsid w:val="00750B8D"/>
    <w:rsid w:val="0076564E"/>
    <w:rsid w:val="0077796F"/>
    <w:rsid w:val="007B2AC2"/>
    <w:rsid w:val="007F0448"/>
    <w:rsid w:val="00830873"/>
    <w:rsid w:val="00861A79"/>
    <w:rsid w:val="008727A3"/>
    <w:rsid w:val="008815E9"/>
    <w:rsid w:val="00896587"/>
    <w:rsid w:val="008B36E9"/>
    <w:rsid w:val="00982E62"/>
    <w:rsid w:val="009C6BC2"/>
    <w:rsid w:val="009E7C7E"/>
    <w:rsid w:val="009F328E"/>
    <w:rsid w:val="00A03930"/>
    <w:rsid w:val="00A537A0"/>
    <w:rsid w:val="00A91DCB"/>
    <w:rsid w:val="00AE26DC"/>
    <w:rsid w:val="00AE60BD"/>
    <w:rsid w:val="00B63E6D"/>
    <w:rsid w:val="00B64E5D"/>
    <w:rsid w:val="00BA0E29"/>
    <w:rsid w:val="00BB5F97"/>
    <w:rsid w:val="00C174CC"/>
    <w:rsid w:val="00C30C7C"/>
    <w:rsid w:val="00C30F1F"/>
    <w:rsid w:val="00CD1072"/>
    <w:rsid w:val="00CE56CB"/>
    <w:rsid w:val="00D23D10"/>
    <w:rsid w:val="00D6404E"/>
    <w:rsid w:val="00E211CF"/>
    <w:rsid w:val="00E72410"/>
    <w:rsid w:val="00EA2D11"/>
    <w:rsid w:val="00ED6FB3"/>
    <w:rsid w:val="00EE0F33"/>
    <w:rsid w:val="00F37415"/>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0353EC"/>
    <w:rPr>
      <w:color w:val="808080"/>
    </w:rPr>
  </w:style>
  <w:style w:type="paragraph" w:customStyle="1" w:styleId="2702D49CF9CF46E1AE16F91879EB123B">
    <w:name w:val="2702D49CF9CF46E1AE16F91879EB123B"/>
    <w:rsid w:val="003B71AE"/>
    <w:pPr>
      <w:spacing w:after="120"/>
    </w:pPr>
    <w:rPr>
      <w:rFonts w:eastAsiaTheme="minorHAnsi"/>
      <w:lang w:eastAsia="en-US"/>
    </w:rPr>
  </w:style>
  <w:style w:type="paragraph" w:customStyle="1" w:styleId="378990D007064F55A30BAC0792E1D18B">
    <w:name w:val="378990D007064F55A30BAC0792E1D18B"/>
    <w:rsid w:val="003B71AE"/>
    <w:pPr>
      <w:spacing w:after="120"/>
    </w:pPr>
    <w:rPr>
      <w:rFonts w:eastAsiaTheme="minorHAnsi"/>
      <w:lang w:eastAsia="en-US"/>
    </w:rPr>
  </w:style>
  <w:style w:type="paragraph" w:customStyle="1" w:styleId="B4352C5DBF6A4C1E87481D0411D01F51">
    <w:name w:val="B4352C5DBF6A4C1E87481D0411D01F51"/>
    <w:rsid w:val="003B71AE"/>
    <w:pPr>
      <w:spacing w:after="120"/>
    </w:pPr>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C3C8C1-D78E-49AD-8D85-AE2B966EE0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445</TotalTime>
  <Pages>10</Pages>
  <Words>2948</Words>
  <Characters>17398</Characters>
  <Application>Microsoft Office Word</Application>
  <DocSecurity>0</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MD</Company>
  <LinksUpToDate>false</LinksUpToDate>
  <CharactersWithSpaces>20306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Grabmüllerová Petra Ing.</dc:creator>
  <cp:keywords/>
  <dc:description/>
  <cp:lastModifiedBy>Klusáček Radim, Ing.</cp:lastModifiedBy>
  <cp:revision>356</cp:revision>
  <dcterms:created xsi:type="dcterms:W3CDTF">2022-12-02T23:00:00Z</dcterms:created>
  <dcterms:modified xsi:type="dcterms:W3CDTF">2025-04-11T06:33:00Z</dcterms:modified>
</cp:coreProperties>
</file>